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135" w:rsidRPr="004D4135" w:rsidRDefault="00237748" w:rsidP="004D4135">
      <w:pPr>
        <w:jc w:val="center"/>
        <w:rPr>
          <w:b/>
          <w:color w:val="2E74B5" w:themeColor="accent1" w:themeShade="BF"/>
          <w:sz w:val="24"/>
          <w:szCs w:val="24"/>
          <w:u w:val="single"/>
        </w:rPr>
      </w:pPr>
      <w:r>
        <w:rPr>
          <w:b/>
          <w:color w:val="2E74B5" w:themeColor="accent1" w:themeShade="BF"/>
          <w:sz w:val="24"/>
          <w:szCs w:val="24"/>
          <w:u w:val="single"/>
        </w:rPr>
        <w:t>L</w:t>
      </w:r>
      <w:r w:rsidR="00A92D7D">
        <w:rPr>
          <w:b/>
          <w:color w:val="2E74B5" w:themeColor="accent1" w:themeShade="BF"/>
          <w:sz w:val="24"/>
          <w:szCs w:val="24"/>
          <w:u w:val="single"/>
        </w:rPr>
        <w:t>EADER INSTITUTIONS TBD</w:t>
      </w:r>
      <w:bookmarkStart w:id="0" w:name="_GoBack"/>
      <w:bookmarkEnd w:id="0"/>
    </w:p>
    <w:tbl>
      <w:tblPr>
        <w:tblW w:w="5441" w:type="pct"/>
        <w:tblInd w:w="-635" w:type="dxa"/>
        <w:tblLook w:val="04A0" w:firstRow="1" w:lastRow="0" w:firstColumn="1" w:lastColumn="0" w:noHBand="0" w:noVBand="1"/>
      </w:tblPr>
      <w:tblGrid>
        <w:gridCol w:w="2402"/>
        <w:gridCol w:w="987"/>
        <w:gridCol w:w="1206"/>
        <w:gridCol w:w="911"/>
        <w:gridCol w:w="1109"/>
        <w:gridCol w:w="723"/>
        <w:gridCol w:w="1109"/>
        <w:gridCol w:w="1500"/>
        <w:gridCol w:w="1265"/>
        <w:gridCol w:w="1513"/>
        <w:gridCol w:w="1193"/>
        <w:gridCol w:w="1741"/>
      </w:tblGrid>
      <w:tr w:rsidR="000D7DA4" w:rsidRPr="00E05DE4" w:rsidTr="009F752B">
        <w:trPr>
          <w:trHeight w:val="521"/>
        </w:trPr>
        <w:tc>
          <w:tcPr>
            <w:tcW w:w="5000" w:type="pct"/>
            <w:gridSpan w:val="1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0D7DA4" w:rsidRPr="009F752B" w:rsidRDefault="000D7DA4" w:rsidP="009F752B">
            <w:pPr>
              <w:spacing w:after="0" w:line="240" w:lineRule="auto"/>
              <w:jc w:val="center"/>
              <w:rPr>
                <w:rFonts w:eastAsia="Times New Roman" w:cstheme="minorHAnsi"/>
                <w:b/>
                <w:bCs/>
                <w:sz w:val="20"/>
                <w:szCs w:val="20"/>
                <w:lang w:val="en-GB"/>
              </w:rPr>
            </w:pPr>
            <w:r w:rsidRPr="00E05DE4">
              <w:rPr>
                <w:rFonts w:eastAsia="Times New Roman" w:cstheme="minorHAnsi"/>
                <w:b/>
                <w:bCs/>
                <w:sz w:val="20"/>
                <w:szCs w:val="20"/>
                <w:lang w:val="en-GB"/>
              </w:rPr>
              <w:t>CONSUMER PROTECTION</w:t>
            </w:r>
          </w:p>
        </w:tc>
      </w:tr>
      <w:tr w:rsidR="00EC2B9D" w:rsidRPr="00E05DE4" w:rsidTr="00EC2B9D">
        <w:trPr>
          <w:trHeight w:val="495"/>
        </w:trPr>
        <w:tc>
          <w:tcPr>
            <w:tcW w:w="1082" w:type="pct"/>
            <w:gridSpan w:val="2"/>
            <w:tcBorders>
              <w:top w:val="single" w:sz="4" w:space="0" w:color="auto"/>
              <w:left w:val="single" w:sz="4" w:space="0" w:color="auto"/>
              <w:bottom w:val="single" w:sz="4" w:space="0" w:color="auto"/>
              <w:right w:val="single" w:sz="4" w:space="0" w:color="auto"/>
            </w:tcBorders>
            <w:shd w:val="clear" w:color="000000" w:fill="FFE699"/>
            <w:vAlign w:val="center"/>
            <w:hideMark/>
          </w:tcPr>
          <w:p w:rsidR="00EC2B9D" w:rsidRPr="00E05DE4" w:rsidRDefault="00EC2B9D" w:rsidP="000D7DA4">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EU Law</w:t>
            </w:r>
          </w:p>
        </w:tc>
        <w:tc>
          <w:tcPr>
            <w:tcW w:w="385" w:type="pct"/>
            <w:vMerge w:val="restart"/>
            <w:tcBorders>
              <w:top w:val="single" w:sz="4" w:space="0" w:color="auto"/>
              <w:left w:val="single" w:sz="4" w:space="0" w:color="auto"/>
              <w:bottom w:val="single" w:sz="4" w:space="0" w:color="auto"/>
              <w:right w:val="single" w:sz="4" w:space="0" w:color="auto"/>
            </w:tcBorders>
            <w:shd w:val="clear" w:color="000000" w:fill="FFD966"/>
            <w:vAlign w:val="center"/>
            <w:hideMark/>
          </w:tcPr>
          <w:p w:rsidR="00EC2B9D" w:rsidRPr="00E05DE4" w:rsidRDefault="00EC2B9D" w:rsidP="000D7DA4">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AA </w:t>
            </w:r>
            <w:r w:rsidRPr="00E05DE4">
              <w:rPr>
                <w:rFonts w:eastAsia="Times New Roman" w:cstheme="minorHAnsi"/>
                <w:b/>
                <w:bCs/>
                <w:sz w:val="16"/>
                <w:szCs w:val="16"/>
                <w:lang w:val="en-GB"/>
              </w:rPr>
              <w:br/>
              <w:t>Deadline</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70AD47"/>
            <w:vAlign w:val="center"/>
            <w:hideMark/>
          </w:tcPr>
          <w:p w:rsidR="00EC2B9D" w:rsidRPr="00E05DE4" w:rsidRDefault="00EC2B9D" w:rsidP="000A1D97">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LA </w:t>
            </w:r>
            <w:r w:rsidRPr="00E05DE4">
              <w:rPr>
                <w:rFonts w:eastAsia="Times New Roman" w:cstheme="minorHAnsi"/>
                <w:b/>
                <w:bCs/>
                <w:sz w:val="16"/>
                <w:szCs w:val="16"/>
                <w:lang w:val="en-GB"/>
              </w:rPr>
              <w:br/>
              <w:t>Status</w:t>
            </w:r>
          </w:p>
        </w:tc>
        <w:tc>
          <w:tcPr>
            <w:tcW w:w="585"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EC2B9D" w:rsidRPr="00EC2B9D" w:rsidRDefault="00EC2B9D" w:rsidP="00EC2B9D">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Year</w:t>
            </w:r>
          </w:p>
        </w:tc>
        <w:tc>
          <w:tcPr>
            <w:tcW w:w="833"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EC2B9D" w:rsidRPr="00E05DE4" w:rsidRDefault="00EC2B9D" w:rsidP="000D7DA4">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Domestic Legislation</w:t>
            </w:r>
          </w:p>
        </w:tc>
        <w:tc>
          <w:tcPr>
            <w:tcW w:w="887" w:type="pct"/>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EC2B9D" w:rsidRPr="00E05DE4" w:rsidRDefault="00EC2B9D" w:rsidP="000D7DA4">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Institution(s) In Charge</w:t>
            </w:r>
          </w:p>
        </w:tc>
        <w:tc>
          <w:tcPr>
            <w:tcW w:w="381" w:type="pct"/>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rsidR="00EC2B9D" w:rsidRPr="00E05DE4" w:rsidRDefault="00EC2B9D" w:rsidP="000D7DA4">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Comments </w:t>
            </w:r>
          </w:p>
        </w:tc>
        <w:tc>
          <w:tcPr>
            <w:tcW w:w="556" w:type="pct"/>
            <w:vMerge w:val="restart"/>
            <w:tcBorders>
              <w:top w:val="single" w:sz="4" w:space="0" w:color="auto"/>
              <w:left w:val="single" w:sz="4" w:space="0" w:color="auto"/>
              <w:bottom w:val="single" w:sz="4" w:space="0" w:color="auto"/>
              <w:right w:val="single" w:sz="4" w:space="0" w:color="auto"/>
            </w:tcBorders>
            <w:shd w:val="clear" w:color="000000" w:fill="A9D08E"/>
            <w:vAlign w:val="center"/>
          </w:tcPr>
          <w:p w:rsidR="00EC2B9D" w:rsidRPr="00E05DE4" w:rsidRDefault="00EC2B9D" w:rsidP="000D7DA4">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Reference</w:t>
            </w:r>
          </w:p>
        </w:tc>
      </w:tr>
      <w:tr w:rsidR="00C819CB" w:rsidRPr="00E05DE4" w:rsidTr="00EC2B9D">
        <w:trPr>
          <w:trHeight w:val="810"/>
        </w:trPr>
        <w:tc>
          <w:tcPr>
            <w:tcW w:w="767" w:type="pct"/>
            <w:tcBorders>
              <w:top w:val="single" w:sz="4" w:space="0" w:color="auto"/>
              <w:left w:val="single" w:sz="4" w:space="0" w:color="auto"/>
              <w:bottom w:val="single" w:sz="4" w:space="0" w:color="auto"/>
              <w:right w:val="single" w:sz="4" w:space="0" w:color="auto"/>
            </w:tcBorders>
            <w:shd w:val="clear" w:color="000000" w:fill="FFF2CC"/>
            <w:vAlign w:val="center"/>
            <w:hideMark/>
          </w:tcPr>
          <w:p w:rsidR="000D7DA4" w:rsidRPr="00E05DE4" w:rsidRDefault="000D7DA4" w:rsidP="000D7DA4">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as per</w:t>
            </w:r>
            <w:r w:rsidRPr="00E05DE4">
              <w:rPr>
                <w:rFonts w:eastAsia="Times New Roman" w:cstheme="minorHAnsi"/>
                <w:b/>
                <w:bCs/>
                <w:color w:val="3A3838"/>
                <w:sz w:val="16"/>
                <w:szCs w:val="16"/>
                <w:lang w:val="en-GB"/>
              </w:rPr>
              <w:t xml:space="preserve"> AA</w:t>
            </w:r>
          </w:p>
        </w:tc>
        <w:tc>
          <w:tcPr>
            <w:tcW w:w="315" w:type="pct"/>
            <w:tcBorders>
              <w:top w:val="single" w:sz="4" w:space="0" w:color="auto"/>
              <w:left w:val="single" w:sz="4" w:space="0" w:color="auto"/>
              <w:bottom w:val="single" w:sz="4" w:space="0" w:color="auto"/>
              <w:right w:val="single" w:sz="4" w:space="0" w:color="auto"/>
            </w:tcBorders>
            <w:shd w:val="clear" w:color="000000" w:fill="FFF2CC"/>
            <w:vAlign w:val="center"/>
            <w:hideMark/>
          </w:tcPr>
          <w:p w:rsidR="000D7DA4" w:rsidRPr="00E05DE4" w:rsidRDefault="000D7DA4" w:rsidP="000D7DA4">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 xml:space="preserve">as per </w:t>
            </w:r>
            <w:r w:rsidRPr="00E05DE4">
              <w:rPr>
                <w:rFonts w:eastAsia="Times New Roman" w:cstheme="minorHAnsi"/>
                <w:b/>
                <w:bCs/>
                <w:color w:val="3A3838"/>
                <w:sz w:val="16"/>
                <w:szCs w:val="16"/>
                <w:lang w:val="en-GB"/>
              </w:rPr>
              <w:t>changes since AA</w:t>
            </w:r>
          </w:p>
        </w:tc>
        <w:tc>
          <w:tcPr>
            <w:tcW w:w="385" w:type="pct"/>
            <w:vMerge/>
            <w:tcBorders>
              <w:top w:val="single" w:sz="4" w:space="0" w:color="auto"/>
              <w:left w:val="single" w:sz="4" w:space="0" w:color="auto"/>
              <w:bottom w:val="single" w:sz="4" w:space="0" w:color="auto"/>
              <w:right w:val="single" w:sz="4" w:space="0" w:color="auto"/>
            </w:tcBorders>
            <w:vAlign w:val="center"/>
            <w:hideMark/>
          </w:tcPr>
          <w:p w:rsidR="000D7DA4" w:rsidRPr="00E05DE4" w:rsidRDefault="000D7DA4" w:rsidP="000D7DA4">
            <w:pPr>
              <w:spacing w:after="0" w:line="240" w:lineRule="auto"/>
              <w:rPr>
                <w:rFonts w:eastAsia="Times New Roman" w:cstheme="minorHAnsi"/>
                <w:b/>
                <w:bCs/>
                <w:sz w:val="16"/>
                <w:szCs w:val="16"/>
                <w:lang w:val="en-GB"/>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rsidR="000D7DA4" w:rsidRPr="00E05DE4" w:rsidRDefault="000D7DA4" w:rsidP="000D7DA4">
            <w:pPr>
              <w:spacing w:after="0" w:line="240" w:lineRule="auto"/>
              <w:rPr>
                <w:rFonts w:eastAsia="Times New Roman" w:cstheme="minorHAnsi"/>
                <w:b/>
                <w:bCs/>
                <w:sz w:val="16"/>
                <w:szCs w:val="16"/>
                <w:lang w:val="en-GB"/>
              </w:rPr>
            </w:pPr>
          </w:p>
        </w:tc>
        <w:tc>
          <w:tcPr>
            <w:tcW w:w="354"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0D7DA4" w:rsidRPr="00E05DE4" w:rsidRDefault="000D7DA4" w:rsidP="000D7DA4">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Adoption</w:t>
            </w:r>
          </w:p>
        </w:tc>
        <w:tc>
          <w:tcPr>
            <w:tcW w:w="231"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0D7DA4" w:rsidRPr="00E05DE4" w:rsidRDefault="000D7DA4" w:rsidP="000D7DA4">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Entry into force</w:t>
            </w:r>
          </w:p>
        </w:tc>
        <w:tc>
          <w:tcPr>
            <w:tcW w:w="354"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0D7DA4" w:rsidRPr="00E05DE4" w:rsidRDefault="000D7DA4" w:rsidP="000D7DA4">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New</w:t>
            </w:r>
          </w:p>
        </w:tc>
        <w:tc>
          <w:tcPr>
            <w:tcW w:w="479"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0D7DA4" w:rsidRPr="00E05DE4" w:rsidRDefault="000D7DA4" w:rsidP="000D7DA4">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Amendments</w:t>
            </w:r>
          </w:p>
        </w:tc>
        <w:tc>
          <w:tcPr>
            <w:tcW w:w="404"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0D7DA4" w:rsidRPr="00E05DE4" w:rsidRDefault="000D7DA4" w:rsidP="000D7DA4">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 xml:space="preserve">Leader </w:t>
            </w:r>
            <w:r w:rsidRPr="00E05DE4">
              <w:rPr>
                <w:rFonts w:eastAsia="Times New Roman" w:cstheme="minorHAnsi"/>
                <w:b/>
                <w:bCs/>
                <w:color w:val="3A3838"/>
                <w:sz w:val="16"/>
                <w:szCs w:val="16"/>
                <w:lang w:val="en-GB"/>
              </w:rPr>
              <w:br/>
            </w:r>
            <w:r w:rsidRPr="00E05DE4">
              <w:rPr>
                <w:rFonts w:eastAsia="Times New Roman" w:cstheme="minorHAnsi"/>
                <w:i/>
                <w:iCs/>
                <w:color w:val="3A3838"/>
                <w:sz w:val="16"/>
                <w:szCs w:val="16"/>
                <w:lang w:val="en-GB"/>
              </w:rPr>
              <w:t>(incl. contact point)</w:t>
            </w:r>
          </w:p>
        </w:tc>
        <w:tc>
          <w:tcPr>
            <w:tcW w:w="483" w:type="pct"/>
            <w:tcBorders>
              <w:top w:val="single" w:sz="4" w:space="0" w:color="auto"/>
              <w:left w:val="single" w:sz="4" w:space="0" w:color="auto"/>
              <w:bottom w:val="single" w:sz="4" w:space="0" w:color="auto"/>
              <w:right w:val="single" w:sz="4" w:space="0" w:color="auto"/>
            </w:tcBorders>
            <w:shd w:val="clear" w:color="000000" w:fill="E2EFDA"/>
            <w:vAlign w:val="center"/>
            <w:hideMark/>
          </w:tcPr>
          <w:p w:rsidR="000D7DA4" w:rsidRPr="00E05DE4" w:rsidRDefault="000D7DA4" w:rsidP="000D7DA4">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Partner(s)</w:t>
            </w:r>
          </w:p>
        </w:tc>
        <w:tc>
          <w:tcPr>
            <w:tcW w:w="381" w:type="pct"/>
            <w:vMerge/>
            <w:tcBorders>
              <w:top w:val="single" w:sz="4" w:space="0" w:color="auto"/>
              <w:left w:val="single" w:sz="4" w:space="0" w:color="auto"/>
              <w:bottom w:val="single" w:sz="4" w:space="0" w:color="auto"/>
              <w:right w:val="single" w:sz="4" w:space="0" w:color="auto"/>
            </w:tcBorders>
            <w:vAlign w:val="center"/>
            <w:hideMark/>
          </w:tcPr>
          <w:p w:rsidR="000D7DA4" w:rsidRPr="00E05DE4" w:rsidRDefault="000D7DA4" w:rsidP="000D7DA4">
            <w:pPr>
              <w:spacing w:after="0" w:line="240" w:lineRule="auto"/>
              <w:rPr>
                <w:rFonts w:eastAsia="Times New Roman" w:cstheme="minorHAnsi"/>
                <w:b/>
                <w:bCs/>
                <w:sz w:val="16"/>
                <w:szCs w:val="16"/>
                <w:lang w:val="en-GB"/>
              </w:rPr>
            </w:pPr>
          </w:p>
        </w:tc>
        <w:tc>
          <w:tcPr>
            <w:tcW w:w="556" w:type="pct"/>
            <w:vMerge/>
            <w:tcBorders>
              <w:top w:val="single" w:sz="4" w:space="0" w:color="auto"/>
              <w:left w:val="single" w:sz="4" w:space="0" w:color="auto"/>
              <w:bottom w:val="single" w:sz="4" w:space="0" w:color="auto"/>
              <w:right w:val="single" w:sz="4" w:space="0" w:color="auto"/>
            </w:tcBorders>
          </w:tcPr>
          <w:p w:rsidR="000D7DA4" w:rsidRPr="00E05DE4" w:rsidRDefault="000D7DA4" w:rsidP="000D7DA4">
            <w:pPr>
              <w:spacing w:after="0" w:line="240" w:lineRule="auto"/>
              <w:rPr>
                <w:rFonts w:eastAsia="Times New Roman" w:cstheme="minorHAnsi"/>
                <w:b/>
                <w:bCs/>
                <w:sz w:val="16"/>
                <w:szCs w:val="16"/>
                <w:lang w:val="en-GB"/>
              </w:rPr>
            </w:pPr>
          </w:p>
        </w:tc>
      </w:tr>
      <w:tr w:rsidR="00C819CB" w:rsidRPr="00E05DE4" w:rsidTr="00EC2B9D">
        <w:trPr>
          <w:trHeight w:val="1500"/>
        </w:trPr>
        <w:tc>
          <w:tcPr>
            <w:tcW w:w="7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7DA4" w:rsidRPr="00E05DE4" w:rsidRDefault="000D7DA4" w:rsidP="000D7DA4">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 xml:space="preserve">Commission Decision 2009/251/EC of 17 March 2009 requiring Member States to ensure that products containing the biocide </w:t>
            </w:r>
            <w:r w:rsidR="00CA4192" w:rsidRPr="00E05DE4">
              <w:rPr>
                <w:rFonts w:eastAsia="Times New Roman" w:cstheme="minorHAnsi"/>
                <w:color w:val="000000"/>
                <w:sz w:val="16"/>
                <w:szCs w:val="16"/>
                <w:lang w:val="en-GB"/>
              </w:rPr>
              <w:t>dimethyl fumarate</w:t>
            </w:r>
            <w:r w:rsidRPr="00E05DE4">
              <w:rPr>
                <w:rFonts w:eastAsia="Times New Roman" w:cstheme="minorHAnsi"/>
                <w:color w:val="000000"/>
                <w:sz w:val="16"/>
                <w:szCs w:val="16"/>
                <w:lang w:val="en-GB"/>
              </w:rPr>
              <w:t xml:space="preserve"> are not placed or made available on the market</w:t>
            </w:r>
          </w:p>
        </w:tc>
        <w:tc>
          <w:tcPr>
            <w:tcW w:w="315" w:type="pct"/>
            <w:tcBorders>
              <w:top w:val="single" w:sz="4" w:space="0" w:color="auto"/>
              <w:left w:val="nil"/>
              <w:bottom w:val="single" w:sz="4" w:space="0" w:color="auto"/>
              <w:right w:val="single" w:sz="4" w:space="0" w:color="auto"/>
            </w:tcBorders>
            <w:shd w:val="clear" w:color="auto" w:fill="auto"/>
            <w:vAlign w:val="center"/>
            <w:hideMark/>
          </w:tcPr>
          <w:p w:rsidR="000D7DA4" w:rsidRPr="00E05DE4" w:rsidRDefault="000D7DA4" w:rsidP="000D7DA4">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this Decision is no longer in force, not replaced</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0D7DA4" w:rsidRPr="00E05DE4" w:rsidRDefault="000D7DA4" w:rsidP="000D7DA4">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NO</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231" w:type="pct"/>
            <w:tcBorders>
              <w:top w:val="single" w:sz="4" w:space="0" w:color="auto"/>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354" w:type="pct"/>
            <w:tcBorders>
              <w:top w:val="single" w:sz="4" w:space="0" w:color="auto"/>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479" w:type="pct"/>
            <w:tcBorders>
              <w:top w:val="single" w:sz="4" w:space="0" w:color="auto"/>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404" w:type="pct"/>
            <w:tcBorders>
              <w:top w:val="single" w:sz="4" w:space="0" w:color="auto"/>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Subject of revision by  Association Council</w:t>
            </w:r>
          </w:p>
        </w:tc>
        <w:tc>
          <w:tcPr>
            <w:tcW w:w="556" w:type="pct"/>
            <w:tcBorders>
              <w:top w:val="single" w:sz="4" w:space="0" w:color="auto"/>
              <w:left w:val="nil"/>
              <w:bottom w:val="single" w:sz="4" w:space="0" w:color="auto"/>
              <w:right w:val="single" w:sz="4" w:space="0" w:color="auto"/>
            </w:tcBorders>
            <w:shd w:val="clear" w:color="000000" w:fill="FFFFFF"/>
          </w:tcPr>
          <w:p w:rsidR="000D7DA4" w:rsidRPr="00E05DE4" w:rsidRDefault="000D7DA4" w:rsidP="000D7DA4">
            <w:pPr>
              <w:spacing w:after="0" w:line="240" w:lineRule="auto"/>
              <w:rPr>
                <w:rFonts w:eastAsia="Times New Roman" w:cstheme="minorHAnsi"/>
                <w:sz w:val="16"/>
                <w:szCs w:val="16"/>
                <w:lang w:val="en-GB"/>
              </w:rPr>
            </w:pPr>
          </w:p>
        </w:tc>
      </w:tr>
      <w:tr w:rsidR="00C819CB" w:rsidRPr="00E05DE4" w:rsidTr="00EC2B9D">
        <w:trPr>
          <w:trHeight w:val="1836"/>
        </w:trPr>
        <w:tc>
          <w:tcPr>
            <w:tcW w:w="767" w:type="pct"/>
            <w:tcBorders>
              <w:top w:val="nil"/>
              <w:left w:val="single" w:sz="4" w:space="0" w:color="auto"/>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Commission Decision 2006/502/EC of 11 May 2006 requiring Member States to take measures to ensure that only lighters which are child-resistant are placed on the market and to prohibit the placing on the market of novelty lighters</w:t>
            </w:r>
          </w:p>
        </w:tc>
        <w:tc>
          <w:tcPr>
            <w:tcW w:w="315"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this Decision is no longer in force, not replaced</w:t>
            </w:r>
          </w:p>
        </w:tc>
        <w:tc>
          <w:tcPr>
            <w:tcW w:w="385"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2016</w:t>
            </w:r>
          </w:p>
        </w:tc>
        <w:tc>
          <w:tcPr>
            <w:tcW w:w="291"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NO</w:t>
            </w:r>
          </w:p>
        </w:tc>
        <w:tc>
          <w:tcPr>
            <w:tcW w:w="354"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231"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354"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479"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404"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483"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381"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556" w:type="pct"/>
            <w:tcBorders>
              <w:top w:val="nil"/>
              <w:left w:val="nil"/>
              <w:bottom w:val="single" w:sz="4" w:space="0" w:color="auto"/>
              <w:right w:val="single" w:sz="4" w:space="0" w:color="auto"/>
            </w:tcBorders>
            <w:shd w:val="clear" w:color="000000" w:fill="FFFFFF"/>
          </w:tcPr>
          <w:p w:rsidR="000D7DA4" w:rsidRPr="00E05DE4" w:rsidRDefault="000D7DA4" w:rsidP="000D7DA4">
            <w:pPr>
              <w:spacing w:after="0" w:line="240" w:lineRule="auto"/>
              <w:rPr>
                <w:rFonts w:eastAsia="Times New Roman" w:cstheme="minorHAnsi"/>
                <w:sz w:val="16"/>
                <w:szCs w:val="16"/>
                <w:lang w:val="en-GB"/>
              </w:rPr>
            </w:pPr>
          </w:p>
        </w:tc>
      </w:tr>
      <w:tr w:rsidR="00C819CB" w:rsidRPr="00E05DE4" w:rsidTr="00EC2B9D">
        <w:trPr>
          <w:trHeight w:val="1872"/>
        </w:trPr>
        <w:tc>
          <w:tcPr>
            <w:tcW w:w="767" w:type="pct"/>
            <w:tcBorders>
              <w:top w:val="nil"/>
              <w:left w:val="single" w:sz="4" w:space="0" w:color="auto"/>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Recommendation on principles applicable to out-of-court settlement (98/257/EC) Commission Recommendation of 30 March 1998 on the principles applicable to the bodies responsible for out-of-court settlement of consumer disputes</w:t>
            </w:r>
          </w:p>
        </w:tc>
        <w:tc>
          <w:tcPr>
            <w:tcW w:w="315"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385"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N/A</w:t>
            </w:r>
          </w:p>
        </w:tc>
        <w:tc>
          <w:tcPr>
            <w:tcW w:w="291"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NO</w:t>
            </w:r>
          </w:p>
        </w:tc>
        <w:tc>
          <w:tcPr>
            <w:tcW w:w="354"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231"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354"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479"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404" w:type="pct"/>
            <w:tcBorders>
              <w:top w:val="nil"/>
              <w:left w:val="nil"/>
              <w:bottom w:val="single" w:sz="4" w:space="0" w:color="auto"/>
              <w:right w:val="single" w:sz="4" w:space="0" w:color="auto"/>
            </w:tcBorders>
            <w:shd w:val="clear" w:color="000000" w:fill="FFFFFF"/>
            <w:noWrap/>
            <w:vAlign w:val="bottom"/>
            <w:hideMark/>
          </w:tcPr>
          <w:p w:rsidR="000D7DA4" w:rsidRPr="00E05DE4" w:rsidRDefault="000D7DA4" w:rsidP="000D7DA4">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381" w:type="pct"/>
            <w:tcBorders>
              <w:top w:val="nil"/>
              <w:left w:val="nil"/>
              <w:bottom w:val="single" w:sz="4" w:space="0" w:color="auto"/>
              <w:right w:val="single" w:sz="4" w:space="0" w:color="auto"/>
            </w:tcBorders>
            <w:shd w:val="clear" w:color="000000" w:fill="FFFFFF"/>
            <w:noWrap/>
            <w:vAlign w:val="bottom"/>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556" w:type="pct"/>
            <w:tcBorders>
              <w:top w:val="nil"/>
              <w:left w:val="nil"/>
              <w:bottom w:val="single" w:sz="4" w:space="0" w:color="auto"/>
              <w:right w:val="single" w:sz="4" w:space="0" w:color="auto"/>
            </w:tcBorders>
            <w:shd w:val="clear" w:color="000000" w:fill="FFFFFF"/>
          </w:tcPr>
          <w:p w:rsidR="000D7DA4" w:rsidRPr="00E05DE4" w:rsidRDefault="000D7DA4" w:rsidP="000D7DA4">
            <w:pPr>
              <w:spacing w:after="0" w:line="240" w:lineRule="auto"/>
              <w:rPr>
                <w:rFonts w:eastAsia="Times New Roman" w:cstheme="minorHAnsi"/>
                <w:sz w:val="16"/>
                <w:szCs w:val="16"/>
                <w:lang w:val="en-GB"/>
              </w:rPr>
            </w:pPr>
          </w:p>
        </w:tc>
      </w:tr>
      <w:tr w:rsidR="00C819CB" w:rsidRPr="00E05DE4" w:rsidTr="00EC2B9D">
        <w:trPr>
          <w:trHeight w:val="1692"/>
        </w:trPr>
        <w:tc>
          <w:tcPr>
            <w:tcW w:w="767" w:type="pct"/>
            <w:tcBorders>
              <w:top w:val="nil"/>
              <w:left w:val="single" w:sz="4" w:space="0" w:color="auto"/>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Recommendation on consensual resolution out-of-court (2001/310/EC) Commission Recommendation of 4 April 2001 on the principles for out-of-court bodies involved in the consensual resolution of consumer disputes</w:t>
            </w:r>
          </w:p>
        </w:tc>
        <w:tc>
          <w:tcPr>
            <w:tcW w:w="315"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385"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N/A</w:t>
            </w:r>
          </w:p>
        </w:tc>
        <w:tc>
          <w:tcPr>
            <w:tcW w:w="291"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NO</w:t>
            </w:r>
          </w:p>
        </w:tc>
        <w:tc>
          <w:tcPr>
            <w:tcW w:w="354"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231"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354"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479" w:type="pct"/>
            <w:tcBorders>
              <w:top w:val="nil"/>
              <w:left w:val="nil"/>
              <w:bottom w:val="single" w:sz="4" w:space="0" w:color="auto"/>
              <w:right w:val="single" w:sz="4" w:space="0" w:color="auto"/>
            </w:tcBorders>
            <w:shd w:val="clear" w:color="000000" w:fill="FFFFFF"/>
            <w:vAlign w:val="center"/>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404" w:type="pct"/>
            <w:tcBorders>
              <w:top w:val="nil"/>
              <w:left w:val="nil"/>
              <w:bottom w:val="single" w:sz="4" w:space="0" w:color="auto"/>
              <w:right w:val="single" w:sz="4" w:space="0" w:color="auto"/>
            </w:tcBorders>
            <w:shd w:val="clear" w:color="000000" w:fill="FFFFFF"/>
            <w:noWrap/>
            <w:vAlign w:val="bottom"/>
            <w:hideMark/>
          </w:tcPr>
          <w:p w:rsidR="000D7DA4" w:rsidRPr="00E05DE4" w:rsidRDefault="000D7DA4" w:rsidP="000D7DA4">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483" w:type="pct"/>
            <w:tcBorders>
              <w:top w:val="nil"/>
              <w:left w:val="nil"/>
              <w:bottom w:val="single" w:sz="4" w:space="0" w:color="auto"/>
              <w:right w:val="single" w:sz="4" w:space="0" w:color="auto"/>
            </w:tcBorders>
            <w:shd w:val="clear" w:color="000000" w:fill="FFFFFF"/>
            <w:noWrap/>
            <w:vAlign w:val="bottom"/>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381" w:type="pct"/>
            <w:tcBorders>
              <w:top w:val="nil"/>
              <w:left w:val="nil"/>
              <w:bottom w:val="single" w:sz="4" w:space="0" w:color="auto"/>
              <w:right w:val="single" w:sz="4" w:space="0" w:color="auto"/>
            </w:tcBorders>
            <w:shd w:val="clear" w:color="000000" w:fill="FFFFFF"/>
            <w:noWrap/>
            <w:vAlign w:val="bottom"/>
            <w:hideMark/>
          </w:tcPr>
          <w:p w:rsidR="000D7DA4" w:rsidRPr="00E05DE4" w:rsidRDefault="000D7DA4" w:rsidP="000D7DA4">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556" w:type="pct"/>
            <w:tcBorders>
              <w:top w:val="nil"/>
              <w:left w:val="nil"/>
              <w:bottom w:val="single" w:sz="4" w:space="0" w:color="auto"/>
              <w:right w:val="single" w:sz="4" w:space="0" w:color="auto"/>
            </w:tcBorders>
            <w:shd w:val="clear" w:color="000000" w:fill="FFFFFF"/>
          </w:tcPr>
          <w:p w:rsidR="000D7DA4" w:rsidRPr="00E05DE4" w:rsidRDefault="000D7DA4" w:rsidP="000D7DA4">
            <w:pPr>
              <w:spacing w:after="0" w:line="240" w:lineRule="auto"/>
              <w:rPr>
                <w:rFonts w:eastAsia="Times New Roman" w:cstheme="minorHAnsi"/>
                <w:sz w:val="16"/>
                <w:szCs w:val="16"/>
                <w:lang w:val="en-GB"/>
              </w:rPr>
            </w:pPr>
          </w:p>
        </w:tc>
      </w:tr>
    </w:tbl>
    <w:p w:rsidR="000F0B75" w:rsidRPr="00E05DE4" w:rsidRDefault="000F0B75">
      <w:pPr>
        <w:rPr>
          <w:lang w:val="en-GB"/>
        </w:rPr>
      </w:pPr>
    </w:p>
    <w:p w:rsidR="000F0B75" w:rsidRPr="00E05DE4" w:rsidRDefault="000F0B75">
      <w:pPr>
        <w:rPr>
          <w:lang w:val="en-GB"/>
        </w:rPr>
      </w:pPr>
    </w:p>
    <w:tbl>
      <w:tblPr>
        <w:tblStyle w:val="TableGrid"/>
        <w:tblW w:w="5379" w:type="pct"/>
        <w:tblInd w:w="-545" w:type="dxa"/>
        <w:tblLook w:val="04A0" w:firstRow="1" w:lastRow="0" w:firstColumn="1" w:lastColumn="0" w:noHBand="0" w:noVBand="1"/>
      </w:tblPr>
      <w:tblGrid>
        <w:gridCol w:w="2431"/>
        <w:gridCol w:w="861"/>
        <w:gridCol w:w="1471"/>
        <w:gridCol w:w="904"/>
        <w:gridCol w:w="839"/>
        <w:gridCol w:w="1458"/>
        <w:gridCol w:w="944"/>
        <w:gridCol w:w="1622"/>
        <w:gridCol w:w="824"/>
        <w:gridCol w:w="1102"/>
        <w:gridCol w:w="1403"/>
        <w:gridCol w:w="1622"/>
      </w:tblGrid>
      <w:tr w:rsidR="000F0B75" w:rsidRPr="00E05DE4" w:rsidTr="004D4135">
        <w:trPr>
          <w:trHeight w:val="620"/>
        </w:trPr>
        <w:tc>
          <w:tcPr>
            <w:tcW w:w="5000" w:type="pct"/>
            <w:gridSpan w:val="12"/>
            <w:shd w:val="clear" w:color="auto" w:fill="9CC2E5" w:themeFill="accent1" w:themeFillTint="99"/>
            <w:vAlign w:val="center"/>
          </w:tcPr>
          <w:p w:rsidR="000F0B75" w:rsidRPr="00E05DE4" w:rsidRDefault="000F0B75" w:rsidP="00C819CB">
            <w:pPr>
              <w:jc w:val="center"/>
              <w:rPr>
                <w:rFonts w:cstheme="minorHAnsi"/>
                <w:b/>
                <w:bCs/>
                <w:sz w:val="20"/>
                <w:szCs w:val="20"/>
                <w:lang w:val="en-GB"/>
              </w:rPr>
            </w:pPr>
            <w:r w:rsidRPr="00E05DE4">
              <w:rPr>
                <w:rFonts w:cstheme="minorHAnsi"/>
                <w:b/>
                <w:bCs/>
                <w:sz w:val="20"/>
                <w:szCs w:val="20"/>
                <w:lang w:val="en-GB"/>
              </w:rPr>
              <w:lastRenderedPageBreak/>
              <w:t>ENVIRONM</w:t>
            </w:r>
            <w:r w:rsidR="00E311E7" w:rsidRPr="00E05DE4">
              <w:rPr>
                <w:rFonts w:cstheme="minorHAnsi"/>
                <w:b/>
                <w:bCs/>
                <w:sz w:val="20"/>
                <w:szCs w:val="20"/>
                <w:lang w:val="en-GB"/>
              </w:rPr>
              <w:t>ENT AND CLIMATE ACTION</w:t>
            </w:r>
          </w:p>
        </w:tc>
      </w:tr>
      <w:tr w:rsidR="00C819CB" w:rsidRPr="00E05DE4" w:rsidTr="00C819CB">
        <w:trPr>
          <w:trHeight w:val="495"/>
        </w:trPr>
        <w:tc>
          <w:tcPr>
            <w:tcW w:w="1063" w:type="pct"/>
            <w:gridSpan w:val="2"/>
            <w:shd w:val="clear" w:color="auto" w:fill="FFE599" w:themeFill="accent4" w:themeFillTint="66"/>
            <w:vAlign w:val="center"/>
            <w:hideMark/>
          </w:tcPr>
          <w:p w:rsidR="00C819CB" w:rsidRPr="00E05DE4" w:rsidRDefault="00C819CB" w:rsidP="00C819CB">
            <w:pPr>
              <w:jc w:val="center"/>
              <w:rPr>
                <w:rFonts w:cstheme="minorHAnsi"/>
                <w:b/>
                <w:bCs/>
                <w:sz w:val="16"/>
                <w:szCs w:val="16"/>
                <w:lang w:val="en-GB"/>
              </w:rPr>
            </w:pPr>
            <w:r w:rsidRPr="00E05DE4">
              <w:rPr>
                <w:rFonts w:cstheme="minorHAnsi"/>
                <w:b/>
                <w:bCs/>
                <w:sz w:val="16"/>
                <w:szCs w:val="16"/>
                <w:lang w:val="en-GB"/>
              </w:rPr>
              <w:t>EU Law</w:t>
            </w:r>
          </w:p>
        </w:tc>
        <w:tc>
          <w:tcPr>
            <w:tcW w:w="475" w:type="pct"/>
            <w:vMerge w:val="restart"/>
            <w:shd w:val="clear" w:color="auto" w:fill="FFD966" w:themeFill="accent4" w:themeFillTint="99"/>
            <w:vAlign w:val="center"/>
            <w:hideMark/>
          </w:tcPr>
          <w:p w:rsidR="00C819CB" w:rsidRPr="00E05DE4" w:rsidRDefault="00C819CB" w:rsidP="00C819CB">
            <w:pPr>
              <w:jc w:val="center"/>
              <w:rPr>
                <w:rFonts w:cstheme="minorHAnsi"/>
                <w:b/>
                <w:bCs/>
                <w:sz w:val="16"/>
                <w:szCs w:val="16"/>
                <w:lang w:val="en-GB"/>
              </w:rPr>
            </w:pPr>
            <w:r w:rsidRPr="00E05DE4">
              <w:rPr>
                <w:rFonts w:cstheme="minorHAnsi"/>
                <w:b/>
                <w:bCs/>
                <w:sz w:val="16"/>
                <w:szCs w:val="16"/>
                <w:lang w:val="en-GB"/>
              </w:rPr>
              <w:t>Deadline</w:t>
            </w:r>
          </w:p>
        </w:tc>
        <w:tc>
          <w:tcPr>
            <w:tcW w:w="292" w:type="pct"/>
            <w:vMerge w:val="restart"/>
            <w:shd w:val="clear" w:color="auto" w:fill="538135" w:themeFill="accent6" w:themeFillShade="BF"/>
            <w:vAlign w:val="center"/>
            <w:hideMark/>
          </w:tcPr>
          <w:p w:rsidR="00C819CB" w:rsidRPr="00E05DE4" w:rsidRDefault="00C819CB" w:rsidP="00C819CB">
            <w:pPr>
              <w:jc w:val="center"/>
              <w:rPr>
                <w:rFonts w:cstheme="minorHAnsi"/>
                <w:b/>
                <w:bCs/>
                <w:sz w:val="16"/>
                <w:szCs w:val="16"/>
                <w:lang w:val="en-GB"/>
              </w:rPr>
            </w:pPr>
            <w:r w:rsidRPr="00E05DE4">
              <w:rPr>
                <w:rFonts w:cstheme="minorHAnsi"/>
                <w:b/>
                <w:bCs/>
                <w:sz w:val="16"/>
                <w:szCs w:val="16"/>
                <w:lang w:val="en-GB"/>
              </w:rPr>
              <w:t xml:space="preserve">LA </w:t>
            </w:r>
            <w:r w:rsidRPr="00E05DE4">
              <w:rPr>
                <w:rFonts w:cstheme="minorHAnsi"/>
                <w:b/>
                <w:bCs/>
                <w:sz w:val="16"/>
                <w:szCs w:val="16"/>
                <w:lang w:val="en-GB"/>
              </w:rPr>
              <w:br/>
              <w:t>Status</w:t>
            </w:r>
          </w:p>
        </w:tc>
        <w:tc>
          <w:tcPr>
            <w:tcW w:w="742" w:type="pct"/>
            <w:gridSpan w:val="2"/>
            <w:shd w:val="clear" w:color="auto" w:fill="A8D08D" w:themeFill="accent6" w:themeFillTint="99"/>
            <w:noWrap/>
            <w:vAlign w:val="center"/>
            <w:hideMark/>
          </w:tcPr>
          <w:p w:rsidR="00C819CB" w:rsidRPr="00E05DE4" w:rsidRDefault="00C819CB" w:rsidP="00C819CB">
            <w:pPr>
              <w:jc w:val="center"/>
              <w:rPr>
                <w:rFonts w:cstheme="minorHAnsi"/>
                <w:b/>
                <w:bCs/>
                <w:sz w:val="16"/>
                <w:szCs w:val="16"/>
                <w:lang w:val="en-GB"/>
              </w:rPr>
            </w:pPr>
            <w:r w:rsidRPr="00E05DE4">
              <w:rPr>
                <w:rFonts w:cstheme="minorHAnsi"/>
                <w:b/>
                <w:bCs/>
                <w:sz w:val="16"/>
                <w:szCs w:val="16"/>
                <w:lang w:val="en-GB"/>
              </w:rPr>
              <w:t>Year</w:t>
            </w:r>
          </w:p>
        </w:tc>
        <w:tc>
          <w:tcPr>
            <w:tcW w:w="829" w:type="pct"/>
            <w:gridSpan w:val="2"/>
            <w:shd w:val="clear" w:color="auto" w:fill="A8D08D" w:themeFill="accent6" w:themeFillTint="99"/>
            <w:noWrap/>
            <w:vAlign w:val="center"/>
            <w:hideMark/>
          </w:tcPr>
          <w:p w:rsidR="00C819CB" w:rsidRPr="00E05DE4" w:rsidRDefault="00C819CB" w:rsidP="00C819CB">
            <w:pPr>
              <w:jc w:val="center"/>
              <w:rPr>
                <w:rFonts w:cstheme="minorHAnsi"/>
                <w:b/>
                <w:bCs/>
                <w:sz w:val="16"/>
                <w:szCs w:val="16"/>
                <w:lang w:val="en-GB"/>
              </w:rPr>
            </w:pPr>
            <w:r w:rsidRPr="00E05DE4">
              <w:rPr>
                <w:rFonts w:cstheme="minorHAnsi"/>
                <w:b/>
                <w:bCs/>
                <w:sz w:val="16"/>
                <w:szCs w:val="16"/>
                <w:lang w:val="en-GB"/>
              </w:rPr>
              <w:t>Domestic Legislation</w:t>
            </w:r>
          </w:p>
        </w:tc>
        <w:tc>
          <w:tcPr>
            <w:tcW w:w="622" w:type="pct"/>
            <w:gridSpan w:val="2"/>
            <w:shd w:val="clear" w:color="auto" w:fill="A8D08D" w:themeFill="accent6" w:themeFillTint="99"/>
            <w:noWrap/>
            <w:vAlign w:val="center"/>
            <w:hideMark/>
          </w:tcPr>
          <w:p w:rsidR="00C819CB" w:rsidRPr="00E05DE4" w:rsidRDefault="00C819CB" w:rsidP="00C819CB">
            <w:pPr>
              <w:jc w:val="center"/>
              <w:rPr>
                <w:rFonts w:cstheme="minorHAnsi"/>
                <w:b/>
                <w:bCs/>
                <w:sz w:val="16"/>
                <w:szCs w:val="16"/>
                <w:lang w:val="en-GB"/>
              </w:rPr>
            </w:pPr>
            <w:r w:rsidRPr="00E05DE4">
              <w:rPr>
                <w:rFonts w:cstheme="minorHAnsi"/>
                <w:b/>
                <w:bCs/>
                <w:sz w:val="16"/>
                <w:szCs w:val="16"/>
                <w:lang w:val="en-GB"/>
              </w:rPr>
              <w:t>Institution(s) In Charge</w:t>
            </w:r>
          </w:p>
        </w:tc>
        <w:tc>
          <w:tcPr>
            <w:tcW w:w="453" w:type="pct"/>
            <w:vMerge w:val="restart"/>
            <w:shd w:val="clear" w:color="auto" w:fill="A8D08D" w:themeFill="accent6" w:themeFillTint="99"/>
            <w:vAlign w:val="center"/>
            <w:hideMark/>
          </w:tcPr>
          <w:p w:rsidR="00C819CB" w:rsidRPr="00E05DE4" w:rsidRDefault="00C819CB" w:rsidP="00C819CB">
            <w:pPr>
              <w:jc w:val="center"/>
              <w:rPr>
                <w:rFonts w:cstheme="minorHAnsi"/>
                <w:b/>
                <w:bCs/>
                <w:sz w:val="16"/>
                <w:szCs w:val="16"/>
                <w:lang w:val="en-GB"/>
              </w:rPr>
            </w:pPr>
            <w:r w:rsidRPr="00E05DE4">
              <w:rPr>
                <w:rFonts w:cstheme="minorHAnsi"/>
                <w:b/>
                <w:bCs/>
                <w:sz w:val="16"/>
                <w:szCs w:val="16"/>
                <w:lang w:val="en-GB"/>
              </w:rPr>
              <w:t>COMMENTS</w:t>
            </w:r>
          </w:p>
        </w:tc>
        <w:tc>
          <w:tcPr>
            <w:tcW w:w="524" w:type="pct"/>
            <w:vMerge w:val="restart"/>
            <w:shd w:val="clear" w:color="auto" w:fill="A8D08D" w:themeFill="accent6" w:themeFillTint="99"/>
            <w:vAlign w:val="center"/>
          </w:tcPr>
          <w:p w:rsidR="00C819CB" w:rsidRPr="00E05DE4" w:rsidRDefault="00C819CB" w:rsidP="00C819CB">
            <w:pPr>
              <w:jc w:val="center"/>
              <w:rPr>
                <w:rFonts w:cstheme="minorHAnsi"/>
                <w:b/>
                <w:bCs/>
                <w:sz w:val="16"/>
                <w:szCs w:val="16"/>
                <w:lang w:val="en-GB"/>
              </w:rPr>
            </w:pPr>
            <w:r w:rsidRPr="00E05DE4">
              <w:rPr>
                <w:rFonts w:cstheme="minorHAnsi"/>
                <w:b/>
                <w:bCs/>
                <w:sz w:val="16"/>
                <w:szCs w:val="16"/>
                <w:lang w:val="en-GB"/>
              </w:rPr>
              <w:t>REFERENCE</w:t>
            </w:r>
          </w:p>
        </w:tc>
      </w:tr>
      <w:tr w:rsidR="00C819CB" w:rsidRPr="00E05DE4" w:rsidTr="00C819CB">
        <w:trPr>
          <w:trHeight w:val="810"/>
        </w:trPr>
        <w:tc>
          <w:tcPr>
            <w:tcW w:w="785" w:type="pct"/>
            <w:shd w:val="clear" w:color="auto" w:fill="FFF2CC" w:themeFill="accent4" w:themeFillTint="33"/>
            <w:hideMark/>
          </w:tcPr>
          <w:p w:rsidR="00E311E7" w:rsidRPr="00E05DE4" w:rsidRDefault="00E311E7" w:rsidP="00C819CB">
            <w:pPr>
              <w:jc w:val="center"/>
              <w:rPr>
                <w:rFonts w:cstheme="minorHAnsi"/>
                <w:b/>
                <w:bCs/>
                <w:sz w:val="16"/>
                <w:szCs w:val="16"/>
                <w:lang w:val="en-GB"/>
              </w:rPr>
            </w:pPr>
            <w:r w:rsidRPr="00E05DE4">
              <w:rPr>
                <w:rFonts w:cstheme="minorHAnsi"/>
                <w:b/>
                <w:bCs/>
                <w:sz w:val="16"/>
                <w:szCs w:val="16"/>
                <w:lang w:val="en-GB"/>
              </w:rPr>
              <w:br/>
            </w:r>
            <w:r w:rsidRPr="00E05DE4">
              <w:rPr>
                <w:rFonts w:cstheme="minorHAnsi"/>
                <w:b/>
                <w:bCs/>
                <w:i/>
                <w:iCs/>
                <w:sz w:val="16"/>
                <w:szCs w:val="16"/>
                <w:lang w:val="en-GB"/>
              </w:rPr>
              <w:t>as per</w:t>
            </w:r>
            <w:r w:rsidRPr="00E05DE4">
              <w:rPr>
                <w:rFonts w:cstheme="minorHAnsi"/>
                <w:b/>
                <w:bCs/>
                <w:sz w:val="16"/>
                <w:szCs w:val="16"/>
                <w:lang w:val="en-GB"/>
              </w:rPr>
              <w:t xml:space="preserve"> AA</w:t>
            </w:r>
          </w:p>
        </w:tc>
        <w:tc>
          <w:tcPr>
            <w:tcW w:w="278" w:type="pct"/>
            <w:shd w:val="clear" w:color="auto" w:fill="FFF2CC" w:themeFill="accent4" w:themeFillTint="33"/>
            <w:hideMark/>
          </w:tcPr>
          <w:p w:rsidR="00E311E7" w:rsidRPr="00E05DE4" w:rsidRDefault="00E311E7" w:rsidP="00C819CB">
            <w:pPr>
              <w:jc w:val="center"/>
              <w:rPr>
                <w:rFonts w:cstheme="minorHAnsi"/>
                <w:b/>
                <w:bCs/>
                <w:sz w:val="16"/>
                <w:szCs w:val="16"/>
                <w:lang w:val="en-GB"/>
              </w:rPr>
            </w:pPr>
            <w:r w:rsidRPr="00E05DE4">
              <w:rPr>
                <w:rFonts w:cstheme="minorHAnsi"/>
                <w:b/>
                <w:bCs/>
                <w:sz w:val="16"/>
                <w:szCs w:val="16"/>
                <w:lang w:val="en-GB"/>
              </w:rPr>
              <w:br/>
            </w:r>
            <w:r w:rsidRPr="00E05DE4">
              <w:rPr>
                <w:rFonts w:cstheme="minorHAnsi"/>
                <w:b/>
                <w:bCs/>
                <w:i/>
                <w:iCs/>
                <w:sz w:val="16"/>
                <w:szCs w:val="16"/>
                <w:lang w:val="en-GB"/>
              </w:rPr>
              <w:t xml:space="preserve">as per </w:t>
            </w:r>
            <w:r w:rsidRPr="00E05DE4">
              <w:rPr>
                <w:rFonts w:cstheme="minorHAnsi"/>
                <w:b/>
                <w:bCs/>
                <w:sz w:val="16"/>
                <w:szCs w:val="16"/>
                <w:lang w:val="en-GB"/>
              </w:rPr>
              <w:t>changes since AA</w:t>
            </w:r>
          </w:p>
        </w:tc>
        <w:tc>
          <w:tcPr>
            <w:tcW w:w="475" w:type="pct"/>
            <w:vMerge/>
            <w:shd w:val="clear" w:color="auto" w:fill="FFD966" w:themeFill="accent4" w:themeFillTint="99"/>
            <w:hideMark/>
          </w:tcPr>
          <w:p w:rsidR="00E311E7" w:rsidRPr="00E05DE4" w:rsidRDefault="00E311E7">
            <w:pPr>
              <w:rPr>
                <w:rFonts w:cstheme="minorHAnsi"/>
                <w:b/>
                <w:bCs/>
                <w:sz w:val="16"/>
                <w:szCs w:val="16"/>
                <w:lang w:val="en-GB"/>
              </w:rPr>
            </w:pPr>
          </w:p>
        </w:tc>
        <w:tc>
          <w:tcPr>
            <w:tcW w:w="292" w:type="pct"/>
            <w:vMerge/>
            <w:shd w:val="clear" w:color="auto" w:fill="538135" w:themeFill="accent6" w:themeFillShade="BF"/>
            <w:hideMark/>
          </w:tcPr>
          <w:p w:rsidR="00E311E7" w:rsidRPr="00E05DE4" w:rsidRDefault="00E311E7">
            <w:pPr>
              <w:rPr>
                <w:rFonts w:cstheme="minorHAnsi"/>
                <w:b/>
                <w:bCs/>
                <w:sz w:val="16"/>
                <w:szCs w:val="16"/>
                <w:lang w:val="en-GB"/>
              </w:rPr>
            </w:pPr>
          </w:p>
        </w:tc>
        <w:tc>
          <w:tcPr>
            <w:tcW w:w="271" w:type="pct"/>
            <w:shd w:val="clear" w:color="auto" w:fill="A8D08D" w:themeFill="accent6" w:themeFillTint="99"/>
            <w:hideMark/>
          </w:tcPr>
          <w:p w:rsidR="00E311E7" w:rsidRPr="00E05DE4" w:rsidRDefault="00E311E7" w:rsidP="000F0B75">
            <w:pPr>
              <w:rPr>
                <w:rFonts w:cstheme="minorHAnsi"/>
                <w:b/>
                <w:bCs/>
                <w:sz w:val="16"/>
                <w:szCs w:val="16"/>
                <w:lang w:val="en-GB"/>
              </w:rPr>
            </w:pPr>
            <w:r w:rsidRPr="00E05DE4">
              <w:rPr>
                <w:rFonts w:cstheme="minorHAnsi"/>
                <w:b/>
                <w:bCs/>
                <w:sz w:val="16"/>
                <w:szCs w:val="16"/>
                <w:lang w:val="en-GB"/>
              </w:rPr>
              <w:t>Adoption</w:t>
            </w:r>
          </w:p>
        </w:tc>
        <w:tc>
          <w:tcPr>
            <w:tcW w:w="471" w:type="pct"/>
            <w:shd w:val="clear" w:color="auto" w:fill="A8D08D" w:themeFill="accent6" w:themeFillTint="99"/>
            <w:hideMark/>
          </w:tcPr>
          <w:p w:rsidR="00E311E7" w:rsidRPr="00E05DE4" w:rsidRDefault="00E311E7" w:rsidP="000F0B75">
            <w:pPr>
              <w:rPr>
                <w:rFonts w:cstheme="minorHAnsi"/>
                <w:b/>
                <w:bCs/>
                <w:sz w:val="16"/>
                <w:szCs w:val="16"/>
                <w:lang w:val="en-GB"/>
              </w:rPr>
            </w:pPr>
            <w:r w:rsidRPr="00E05DE4">
              <w:rPr>
                <w:rFonts w:cstheme="minorHAnsi"/>
                <w:b/>
                <w:bCs/>
                <w:sz w:val="16"/>
                <w:szCs w:val="16"/>
                <w:lang w:val="en-GB"/>
              </w:rPr>
              <w:t>Entry into force</w:t>
            </w:r>
          </w:p>
        </w:tc>
        <w:tc>
          <w:tcPr>
            <w:tcW w:w="305" w:type="pct"/>
            <w:shd w:val="clear" w:color="auto" w:fill="A8D08D" w:themeFill="accent6" w:themeFillTint="99"/>
            <w:hideMark/>
          </w:tcPr>
          <w:p w:rsidR="00E311E7" w:rsidRPr="00E05DE4" w:rsidRDefault="00E311E7" w:rsidP="000F0B75">
            <w:pPr>
              <w:rPr>
                <w:rFonts w:cstheme="minorHAnsi"/>
                <w:b/>
                <w:bCs/>
                <w:sz w:val="16"/>
                <w:szCs w:val="16"/>
                <w:lang w:val="en-GB"/>
              </w:rPr>
            </w:pPr>
            <w:r w:rsidRPr="00E05DE4">
              <w:rPr>
                <w:rFonts w:cstheme="minorHAnsi"/>
                <w:b/>
                <w:bCs/>
                <w:sz w:val="16"/>
                <w:szCs w:val="16"/>
                <w:lang w:val="en-GB"/>
              </w:rPr>
              <w:t>New</w:t>
            </w:r>
          </w:p>
        </w:tc>
        <w:tc>
          <w:tcPr>
            <w:tcW w:w="524" w:type="pct"/>
            <w:shd w:val="clear" w:color="auto" w:fill="A8D08D" w:themeFill="accent6" w:themeFillTint="99"/>
            <w:vAlign w:val="center"/>
            <w:hideMark/>
          </w:tcPr>
          <w:p w:rsidR="00E311E7" w:rsidRPr="00E05DE4" w:rsidRDefault="00E311E7" w:rsidP="00E311E7">
            <w:pPr>
              <w:jc w:val="center"/>
              <w:rPr>
                <w:rFonts w:cstheme="minorHAnsi"/>
                <w:b/>
                <w:bCs/>
                <w:sz w:val="16"/>
                <w:szCs w:val="16"/>
                <w:lang w:val="en-GB"/>
              </w:rPr>
            </w:pPr>
            <w:r w:rsidRPr="00E05DE4">
              <w:rPr>
                <w:rFonts w:cstheme="minorHAnsi"/>
                <w:b/>
                <w:bCs/>
                <w:sz w:val="16"/>
                <w:szCs w:val="16"/>
                <w:lang w:val="en-GB"/>
              </w:rPr>
              <w:t>Amendments</w:t>
            </w:r>
          </w:p>
        </w:tc>
        <w:tc>
          <w:tcPr>
            <w:tcW w:w="266" w:type="pct"/>
            <w:shd w:val="clear" w:color="auto" w:fill="A8D08D" w:themeFill="accent6" w:themeFillTint="99"/>
            <w:hideMark/>
          </w:tcPr>
          <w:p w:rsidR="00E311E7" w:rsidRPr="00E05DE4" w:rsidRDefault="00E311E7" w:rsidP="000F0B75">
            <w:pPr>
              <w:rPr>
                <w:rFonts w:cstheme="minorHAnsi"/>
                <w:b/>
                <w:bCs/>
                <w:sz w:val="16"/>
                <w:szCs w:val="16"/>
                <w:lang w:val="en-GB"/>
              </w:rPr>
            </w:pPr>
            <w:r w:rsidRPr="00E05DE4">
              <w:rPr>
                <w:rFonts w:cstheme="minorHAnsi"/>
                <w:b/>
                <w:bCs/>
                <w:sz w:val="16"/>
                <w:szCs w:val="16"/>
                <w:lang w:val="en-GB"/>
              </w:rPr>
              <w:t>Leader</w:t>
            </w:r>
          </w:p>
        </w:tc>
        <w:tc>
          <w:tcPr>
            <w:tcW w:w="356" w:type="pct"/>
            <w:shd w:val="clear" w:color="auto" w:fill="A8D08D" w:themeFill="accent6" w:themeFillTint="99"/>
            <w:hideMark/>
          </w:tcPr>
          <w:p w:rsidR="00E311E7" w:rsidRPr="00E05DE4" w:rsidRDefault="00E311E7" w:rsidP="000F0B75">
            <w:pPr>
              <w:rPr>
                <w:rFonts w:cstheme="minorHAnsi"/>
                <w:b/>
                <w:bCs/>
                <w:sz w:val="16"/>
                <w:szCs w:val="16"/>
                <w:lang w:val="en-GB"/>
              </w:rPr>
            </w:pPr>
            <w:r w:rsidRPr="00E05DE4">
              <w:rPr>
                <w:rFonts w:cstheme="minorHAnsi"/>
                <w:b/>
                <w:bCs/>
                <w:sz w:val="16"/>
                <w:szCs w:val="16"/>
                <w:lang w:val="en-GB"/>
              </w:rPr>
              <w:t>Partner(s)</w:t>
            </w:r>
          </w:p>
        </w:tc>
        <w:tc>
          <w:tcPr>
            <w:tcW w:w="453" w:type="pct"/>
            <w:vMerge/>
            <w:shd w:val="clear" w:color="auto" w:fill="A8D08D" w:themeFill="accent6" w:themeFillTint="99"/>
            <w:hideMark/>
          </w:tcPr>
          <w:p w:rsidR="00E311E7" w:rsidRPr="00E05DE4" w:rsidRDefault="00E311E7">
            <w:pPr>
              <w:rPr>
                <w:rFonts w:cstheme="minorHAnsi"/>
                <w:b/>
                <w:bCs/>
                <w:sz w:val="16"/>
                <w:szCs w:val="16"/>
                <w:lang w:val="en-GB"/>
              </w:rPr>
            </w:pPr>
          </w:p>
        </w:tc>
        <w:tc>
          <w:tcPr>
            <w:tcW w:w="524" w:type="pct"/>
            <w:vMerge/>
            <w:shd w:val="clear" w:color="auto" w:fill="A8D08D" w:themeFill="accent6" w:themeFillTint="99"/>
          </w:tcPr>
          <w:p w:rsidR="00E311E7" w:rsidRPr="00E05DE4" w:rsidRDefault="00E311E7">
            <w:pPr>
              <w:rPr>
                <w:rFonts w:cstheme="minorHAnsi"/>
                <w:b/>
                <w:bCs/>
                <w:sz w:val="16"/>
                <w:szCs w:val="16"/>
                <w:lang w:val="en-GB"/>
              </w:rPr>
            </w:pPr>
          </w:p>
        </w:tc>
      </w:tr>
      <w:tr w:rsidR="00E311E7" w:rsidRPr="00E05DE4" w:rsidTr="00F07528">
        <w:trPr>
          <w:trHeight w:val="1455"/>
        </w:trPr>
        <w:tc>
          <w:tcPr>
            <w:tcW w:w="785" w:type="pct"/>
            <w:hideMark/>
          </w:tcPr>
          <w:p w:rsidR="000F0B75" w:rsidRPr="00E05DE4" w:rsidRDefault="000F0B75" w:rsidP="00C819CB">
            <w:pPr>
              <w:spacing w:after="160"/>
              <w:jc w:val="both"/>
              <w:rPr>
                <w:rFonts w:cstheme="minorHAnsi"/>
                <w:sz w:val="16"/>
                <w:szCs w:val="16"/>
                <w:lang w:val="en-GB"/>
              </w:rPr>
            </w:pPr>
            <w:r w:rsidRPr="00E05DE4">
              <w:rPr>
                <w:rFonts w:cstheme="minorHAnsi"/>
                <w:sz w:val="16"/>
                <w:szCs w:val="16"/>
                <w:lang w:val="en-GB"/>
              </w:rPr>
              <w:t>**Directive 2008/50/EC of the European Parliament and of the Council of 21 May 2008 on ambient air quality and cleaner air for Europe</w:t>
            </w:r>
          </w:p>
        </w:tc>
        <w:tc>
          <w:tcPr>
            <w:tcW w:w="278" w:type="pct"/>
            <w:hideMark/>
          </w:tcPr>
          <w:p w:rsidR="000F0B75" w:rsidRPr="00E05DE4" w:rsidRDefault="000F0B75" w:rsidP="00C819CB">
            <w:pPr>
              <w:spacing w:after="160"/>
              <w:jc w:val="center"/>
              <w:rPr>
                <w:rFonts w:cstheme="minorHAnsi"/>
                <w:sz w:val="16"/>
                <w:szCs w:val="16"/>
                <w:lang w:val="en-GB"/>
              </w:rPr>
            </w:pP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2020**</w:t>
            </w:r>
          </w:p>
        </w:tc>
        <w:tc>
          <w:tcPr>
            <w:tcW w:w="292" w:type="pct"/>
            <w:hideMark/>
          </w:tcPr>
          <w:p w:rsidR="000F0B75" w:rsidRPr="00E05DE4" w:rsidRDefault="000F0B75" w:rsidP="00C819CB">
            <w:pPr>
              <w:jc w:val="center"/>
              <w:rPr>
                <w:rFonts w:cstheme="minorHAnsi"/>
                <w:sz w:val="16"/>
                <w:szCs w:val="16"/>
                <w:lang w:val="en-GB"/>
              </w:rPr>
            </w:pPr>
          </w:p>
        </w:tc>
        <w:tc>
          <w:tcPr>
            <w:tcW w:w="271" w:type="pct"/>
            <w:hideMark/>
          </w:tcPr>
          <w:p w:rsidR="000F0B75" w:rsidRPr="00E05DE4" w:rsidRDefault="000F0B75" w:rsidP="00C819CB">
            <w:pPr>
              <w:jc w:val="center"/>
              <w:rPr>
                <w:rFonts w:cstheme="minorHAnsi"/>
                <w:sz w:val="16"/>
                <w:szCs w:val="16"/>
                <w:lang w:val="en-GB"/>
              </w:rPr>
            </w:pPr>
          </w:p>
        </w:tc>
        <w:tc>
          <w:tcPr>
            <w:tcW w:w="471" w:type="pct"/>
            <w:hideMark/>
          </w:tcPr>
          <w:p w:rsidR="000F0B75" w:rsidRPr="00E05DE4" w:rsidRDefault="000F0B75" w:rsidP="00C819CB">
            <w:pPr>
              <w:jc w:val="center"/>
              <w:rPr>
                <w:rFonts w:cstheme="minorHAnsi"/>
                <w:sz w:val="16"/>
                <w:szCs w:val="16"/>
                <w:lang w:val="en-GB"/>
              </w:rPr>
            </w:pPr>
          </w:p>
        </w:tc>
        <w:tc>
          <w:tcPr>
            <w:tcW w:w="305" w:type="pct"/>
            <w:hideMark/>
          </w:tcPr>
          <w:p w:rsidR="000F0B75" w:rsidRPr="00E05DE4" w:rsidRDefault="000F0B75" w:rsidP="00C819CB">
            <w:pPr>
              <w:jc w:val="center"/>
              <w:rPr>
                <w:rFonts w:cstheme="minorHAnsi"/>
                <w:sz w:val="16"/>
                <w:szCs w:val="16"/>
                <w:lang w:val="en-GB"/>
              </w:rPr>
            </w:pPr>
          </w:p>
        </w:tc>
        <w:tc>
          <w:tcPr>
            <w:tcW w:w="524" w:type="pct"/>
            <w:hideMark/>
          </w:tcPr>
          <w:p w:rsidR="000F0B75" w:rsidRPr="00E05DE4" w:rsidRDefault="000F0B75" w:rsidP="00C819CB">
            <w:pPr>
              <w:jc w:val="center"/>
              <w:rPr>
                <w:rFonts w:cstheme="minorHAnsi"/>
                <w:sz w:val="16"/>
                <w:szCs w:val="16"/>
                <w:lang w:val="en-GB"/>
              </w:rPr>
            </w:pPr>
          </w:p>
        </w:tc>
        <w:tc>
          <w:tcPr>
            <w:tcW w:w="266" w:type="pct"/>
            <w:hideMark/>
          </w:tcPr>
          <w:p w:rsidR="000F0B75" w:rsidRPr="00E05DE4" w:rsidRDefault="000F0B75" w:rsidP="00C819CB">
            <w:pPr>
              <w:jc w:val="center"/>
              <w:rPr>
                <w:rFonts w:cstheme="minorHAnsi"/>
                <w:sz w:val="16"/>
                <w:szCs w:val="16"/>
                <w:lang w:val="en-GB"/>
              </w:rPr>
            </w:pPr>
          </w:p>
        </w:tc>
        <w:tc>
          <w:tcPr>
            <w:tcW w:w="356" w:type="pct"/>
            <w:hideMark/>
          </w:tcPr>
          <w:p w:rsidR="000F0B75" w:rsidRPr="00E05DE4" w:rsidRDefault="000F0B75" w:rsidP="00C819CB">
            <w:pPr>
              <w:jc w:val="center"/>
              <w:rPr>
                <w:rFonts w:cstheme="minorHAnsi"/>
                <w:sz w:val="16"/>
                <w:szCs w:val="16"/>
                <w:lang w:val="en-GB"/>
              </w:rPr>
            </w:pP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xml:space="preserve">** The provisions of the Directive on: </w:t>
            </w:r>
            <w:r w:rsidRPr="00E05DE4">
              <w:rPr>
                <w:rFonts w:cstheme="minorHAnsi"/>
                <w:sz w:val="16"/>
                <w:szCs w:val="16"/>
                <w:lang w:val="en-GB"/>
              </w:rPr>
              <w:br/>
              <w:t xml:space="preserve">- establishment and classification of zones and agglomerations (Article 4); </w:t>
            </w:r>
            <w:r w:rsidRPr="00E05DE4">
              <w:rPr>
                <w:rFonts w:cstheme="minorHAnsi"/>
                <w:sz w:val="16"/>
                <w:szCs w:val="16"/>
                <w:lang w:val="en-GB"/>
              </w:rPr>
              <w:br/>
              <w:t>- establishment of an assessment regime with appropriate criteria for assessing ambient air quality in relation to air pollutants (Articles 5, 6 and 9).</w:t>
            </w:r>
          </w:p>
        </w:tc>
        <w:tc>
          <w:tcPr>
            <w:tcW w:w="524" w:type="pct"/>
          </w:tcPr>
          <w:p w:rsidR="000F0B75" w:rsidRPr="00E05DE4" w:rsidRDefault="000F0B75" w:rsidP="00C819CB">
            <w:pPr>
              <w:jc w:val="center"/>
              <w:rPr>
                <w:rFonts w:cstheme="minorHAnsi"/>
                <w:sz w:val="16"/>
                <w:szCs w:val="16"/>
                <w:lang w:val="en-GB"/>
              </w:rPr>
            </w:pPr>
          </w:p>
        </w:tc>
      </w:tr>
      <w:tr w:rsidR="00E311E7" w:rsidRPr="00E05DE4" w:rsidTr="00F07528">
        <w:trPr>
          <w:trHeight w:val="1575"/>
        </w:trPr>
        <w:tc>
          <w:tcPr>
            <w:tcW w:w="785" w:type="pct"/>
            <w:hideMark/>
          </w:tcPr>
          <w:p w:rsidR="000F0B75" w:rsidRPr="00E05DE4" w:rsidRDefault="000F0B75" w:rsidP="00C819CB">
            <w:pPr>
              <w:spacing w:after="160"/>
              <w:jc w:val="both"/>
              <w:rPr>
                <w:rFonts w:cstheme="minorHAnsi"/>
                <w:sz w:val="16"/>
                <w:szCs w:val="16"/>
                <w:lang w:val="en-GB"/>
              </w:rPr>
            </w:pPr>
            <w:r w:rsidRPr="00E05DE4">
              <w:rPr>
                <w:rFonts w:cstheme="minorHAnsi"/>
                <w:sz w:val="16"/>
                <w:szCs w:val="16"/>
                <w:lang w:val="en-GB"/>
              </w:rPr>
              <w:t>***Directive 2008/50/EC of the European Parliament and of the Council of 21 May 2008 on ambient air quality and cleaner air for Europe</w:t>
            </w:r>
          </w:p>
        </w:tc>
        <w:tc>
          <w:tcPr>
            <w:tcW w:w="278" w:type="pct"/>
            <w:hideMark/>
          </w:tcPr>
          <w:p w:rsidR="000F0B75" w:rsidRPr="00E05DE4" w:rsidRDefault="000F0B75" w:rsidP="000F0B75">
            <w:pPr>
              <w:spacing w:after="160"/>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2021***</w:t>
            </w:r>
          </w:p>
        </w:tc>
        <w:tc>
          <w:tcPr>
            <w:tcW w:w="292"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271"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471"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305"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524"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br/>
              <w:t>*** The provisions of the Directive on:</w:t>
            </w:r>
            <w:r w:rsidRPr="00E05DE4">
              <w:rPr>
                <w:rFonts w:cstheme="minorHAnsi"/>
                <w:sz w:val="16"/>
                <w:szCs w:val="16"/>
                <w:lang w:val="en-GB"/>
              </w:rPr>
              <w:br/>
              <w:t>- establishment of air quality plans for zones and agglomerations where levels of pollutants exceed limit value/target value (Article 23);</w:t>
            </w:r>
            <w:r w:rsidRPr="00E05DE4">
              <w:rPr>
                <w:rFonts w:cstheme="minorHAnsi"/>
                <w:sz w:val="16"/>
                <w:szCs w:val="16"/>
                <w:lang w:val="en-GB"/>
              </w:rPr>
              <w:br/>
              <w:t xml:space="preserve">- establishment of short-term action plans for zones and agglomerations in which there is a risk that alert thresholds will be exceeded (Article 24).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425"/>
        </w:trPr>
        <w:tc>
          <w:tcPr>
            <w:tcW w:w="785" w:type="pct"/>
            <w:hideMark/>
          </w:tcPr>
          <w:p w:rsidR="000F0B75" w:rsidRPr="00E05DE4" w:rsidRDefault="000F0B75" w:rsidP="00C819CB">
            <w:pPr>
              <w:spacing w:after="160"/>
              <w:jc w:val="both"/>
              <w:rPr>
                <w:rFonts w:cstheme="minorHAnsi"/>
                <w:sz w:val="16"/>
                <w:szCs w:val="16"/>
                <w:lang w:val="en-GB"/>
              </w:rPr>
            </w:pPr>
            <w:r w:rsidRPr="00E05DE4">
              <w:rPr>
                <w:rFonts w:cstheme="minorHAnsi"/>
                <w:sz w:val="16"/>
                <w:szCs w:val="16"/>
                <w:lang w:val="en-GB"/>
              </w:rPr>
              <w:lastRenderedPageBreak/>
              <w:t>****Directive 2008/50/EC of the European Parliament and of the Council of 21 May 2008 on ambient air quality and cleaner air for Europe</w:t>
            </w:r>
          </w:p>
        </w:tc>
        <w:tc>
          <w:tcPr>
            <w:tcW w:w="278" w:type="pct"/>
            <w:hideMark/>
          </w:tcPr>
          <w:p w:rsidR="000F0B75" w:rsidRPr="00E05DE4" w:rsidRDefault="000F0B75" w:rsidP="000F0B75">
            <w:pPr>
              <w:spacing w:after="160"/>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2020/2021****</w:t>
            </w:r>
          </w:p>
        </w:tc>
        <w:tc>
          <w:tcPr>
            <w:tcW w:w="292"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271"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471"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305"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524"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xml:space="preserve">****The provisions of the Directive on establishment of a system to provide information to the public (Article 26) to be implemented by 2020 with the exception of Article 26(1)(d), which should be implemented by 2021. </w:t>
            </w:r>
          </w:p>
        </w:tc>
        <w:tc>
          <w:tcPr>
            <w:tcW w:w="524" w:type="pct"/>
          </w:tcPr>
          <w:p w:rsidR="000F0B75" w:rsidRPr="00E05DE4" w:rsidRDefault="000F0B75" w:rsidP="00C819CB">
            <w:pPr>
              <w:jc w:val="both"/>
              <w:rPr>
                <w:rFonts w:cstheme="minorHAnsi"/>
                <w:sz w:val="16"/>
                <w:szCs w:val="16"/>
                <w:lang w:val="en-GB"/>
              </w:rPr>
            </w:pPr>
          </w:p>
        </w:tc>
      </w:tr>
      <w:tr w:rsidR="00E311E7" w:rsidRPr="00E05DE4" w:rsidTr="00C819CB">
        <w:trPr>
          <w:trHeight w:val="1830"/>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2004/107/EC of the European Parliament and of the Council of 15 December 2004 relating to arsenic, cadmium, mercury, nickel and polycyclic aromatic hydrocarbons in ambient air</w:t>
            </w:r>
          </w:p>
        </w:tc>
        <w:tc>
          <w:tcPr>
            <w:tcW w:w="278" w:type="pct"/>
            <w:noWrap/>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hideMark/>
          </w:tcPr>
          <w:p w:rsidR="000F0B75" w:rsidRPr="00E05DE4" w:rsidRDefault="000F0B75" w:rsidP="00C819CB">
            <w:pPr>
              <w:spacing w:after="160"/>
              <w:jc w:val="center"/>
              <w:rPr>
                <w:rFonts w:cstheme="minorHAnsi"/>
                <w:sz w:val="16"/>
                <w:szCs w:val="16"/>
                <w:lang w:val="en-GB"/>
              </w:rPr>
            </w:pPr>
            <w:r w:rsidRPr="00E05DE4">
              <w:rPr>
                <w:rFonts w:cstheme="minorHAnsi"/>
                <w:sz w:val="16"/>
                <w:szCs w:val="16"/>
                <w:lang w:val="en-GB"/>
              </w:rPr>
              <w:br/>
              <w:t>2022**</w:t>
            </w:r>
          </w:p>
        </w:tc>
        <w:tc>
          <w:tcPr>
            <w:tcW w:w="292" w:type="pct"/>
            <w:hideMark/>
          </w:tcPr>
          <w:p w:rsidR="000F0B75" w:rsidRPr="00E05DE4" w:rsidRDefault="000F0B75" w:rsidP="00C819CB">
            <w:pPr>
              <w:spacing w:after="160"/>
              <w:jc w:val="center"/>
              <w:rPr>
                <w:rFonts w:cstheme="minorHAnsi"/>
                <w:sz w:val="16"/>
                <w:szCs w:val="16"/>
                <w:lang w:val="en-GB"/>
              </w:rPr>
            </w:pPr>
          </w:p>
        </w:tc>
        <w:tc>
          <w:tcPr>
            <w:tcW w:w="271"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471"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305"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524"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br/>
              <w:t>** The provisions of the Directive on:</w:t>
            </w:r>
            <w:r w:rsidRPr="00E05DE4">
              <w:rPr>
                <w:rFonts w:cstheme="minorHAnsi"/>
                <w:sz w:val="16"/>
                <w:szCs w:val="16"/>
                <w:lang w:val="en-GB"/>
              </w:rPr>
              <w:br/>
              <w:t xml:space="preserve">- establishment and classification of zones and agglomerations (Article 3(2)); </w:t>
            </w:r>
            <w:r w:rsidRPr="00E05DE4">
              <w:rPr>
                <w:rFonts w:cstheme="minorHAnsi"/>
                <w:sz w:val="16"/>
                <w:szCs w:val="16"/>
                <w:lang w:val="en-GB"/>
              </w:rPr>
              <w:br/>
              <w:t xml:space="preserve">- establishment of an assessment regime with appropriate criteria for assessing ambient air quality in relation to air pollutants (Article 4). </w:t>
            </w:r>
          </w:p>
        </w:tc>
        <w:tc>
          <w:tcPr>
            <w:tcW w:w="524" w:type="pct"/>
          </w:tcPr>
          <w:p w:rsidR="000F0B75" w:rsidRPr="00E05DE4" w:rsidRDefault="000F0B75" w:rsidP="00C819CB">
            <w:pPr>
              <w:jc w:val="both"/>
              <w:rPr>
                <w:rFonts w:cstheme="minorHAnsi"/>
                <w:sz w:val="16"/>
                <w:szCs w:val="16"/>
                <w:lang w:val="en-GB"/>
              </w:rPr>
            </w:pPr>
          </w:p>
        </w:tc>
      </w:tr>
      <w:tr w:rsidR="00E311E7" w:rsidRPr="00E05DE4" w:rsidTr="00C819CB">
        <w:trPr>
          <w:trHeight w:val="1890"/>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2004/107/EC of the European Parliament and of the Council of 15 December 2004 relating to arsenic, cadmium, mercury, nickel and polycyclic aromatic hydrocarbons in ambient air</w:t>
            </w:r>
          </w:p>
        </w:tc>
        <w:tc>
          <w:tcPr>
            <w:tcW w:w="278" w:type="pct"/>
            <w:hideMark/>
          </w:tcPr>
          <w:p w:rsidR="000F0B75" w:rsidRPr="00E05DE4" w:rsidRDefault="000F0B75">
            <w:pPr>
              <w:rPr>
                <w:rFonts w:cstheme="minorHAnsi"/>
                <w:b/>
                <w:bCs/>
                <w:sz w:val="16"/>
                <w:szCs w:val="16"/>
                <w:lang w:val="en-GB"/>
              </w:rPr>
            </w:pPr>
            <w:r w:rsidRPr="00E05DE4">
              <w:rPr>
                <w:rFonts w:cstheme="minorHAnsi"/>
                <w:b/>
                <w:bCs/>
                <w:sz w:val="16"/>
                <w:szCs w:val="16"/>
                <w:lang w:val="en-GB"/>
              </w:rPr>
              <w:t> </w:t>
            </w:r>
          </w:p>
        </w:tc>
        <w:tc>
          <w:tcPr>
            <w:tcW w:w="475" w:type="pct"/>
            <w:hideMark/>
          </w:tcPr>
          <w:p w:rsidR="000F0B75" w:rsidRPr="00E05DE4" w:rsidRDefault="000F0B75" w:rsidP="00C819CB">
            <w:pPr>
              <w:jc w:val="center"/>
              <w:rPr>
                <w:rFonts w:cstheme="minorHAnsi"/>
                <w:sz w:val="16"/>
                <w:szCs w:val="16"/>
                <w:lang w:val="en-GB"/>
              </w:rPr>
            </w:pPr>
            <w:r w:rsidRPr="00E05DE4">
              <w:rPr>
                <w:rFonts w:cstheme="minorHAnsi"/>
                <w:sz w:val="16"/>
                <w:szCs w:val="16"/>
                <w:lang w:val="en-GB"/>
              </w:rPr>
              <w:br/>
              <w:t>2023***</w:t>
            </w:r>
          </w:p>
        </w:tc>
        <w:tc>
          <w:tcPr>
            <w:tcW w:w="292" w:type="pct"/>
            <w:hideMark/>
          </w:tcPr>
          <w:p w:rsidR="000F0B75" w:rsidRPr="00E05DE4" w:rsidRDefault="000F0B75" w:rsidP="00C819CB">
            <w:pPr>
              <w:jc w:val="center"/>
              <w:rPr>
                <w:rFonts w:cstheme="minorHAnsi"/>
                <w:sz w:val="16"/>
                <w:szCs w:val="16"/>
                <w:lang w:val="en-GB"/>
              </w:rPr>
            </w:pPr>
          </w:p>
        </w:tc>
        <w:tc>
          <w:tcPr>
            <w:tcW w:w="271"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471"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305"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524"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xml:space="preserve">*** The provisions of the Directive on taking measures in order to maintain/improve air quality in respect of the relevant pollutants (Article 3(1) and 3(3)). </w:t>
            </w:r>
          </w:p>
        </w:tc>
        <w:tc>
          <w:tcPr>
            <w:tcW w:w="524" w:type="pct"/>
          </w:tcPr>
          <w:p w:rsidR="000F0B75" w:rsidRPr="00E05DE4" w:rsidRDefault="000F0B75" w:rsidP="00C819CB">
            <w:pPr>
              <w:jc w:val="both"/>
              <w:rPr>
                <w:rFonts w:cstheme="minorHAnsi"/>
                <w:sz w:val="16"/>
                <w:szCs w:val="16"/>
                <w:lang w:val="en-GB"/>
              </w:rPr>
            </w:pPr>
          </w:p>
        </w:tc>
      </w:tr>
      <w:tr w:rsidR="00E311E7" w:rsidRPr="00E05DE4" w:rsidTr="00C819CB">
        <w:trPr>
          <w:trHeight w:val="1005"/>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1999/32/EC of 26 April 1999 relating to a reduction of sulphur content of certain liquid fuels</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hideMark/>
          </w:tcPr>
          <w:p w:rsidR="000F0B75" w:rsidRPr="00E05DE4" w:rsidRDefault="000F0B75" w:rsidP="00C819CB">
            <w:pPr>
              <w:jc w:val="center"/>
              <w:rPr>
                <w:rFonts w:cstheme="minorHAnsi"/>
                <w:sz w:val="16"/>
                <w:szCs w:val="16"/>
                <w:lang w:val="en-GB"/>
              </w:rPr>
            </w:pPr>
            <w:r w:rsidRPr="00E05DE4">
              <w:rPr>
                <w:rFonts w:cstheme="minorHAnsi"/>
                <w:sz w:val="16"/>
                <w:szCs w:val="16"/>
                <w:lang w:val="en-GB"/>
              </w:rPr>
              <w:br/>
              <w:t>2021**</w:t>
            </w:r>
          </w:p>
        </w:tc>
        <w:tc>
          <w:tcPr>
            <w:tcW w:w="292" w:type="pct"/>
            <w:hideMark/>
          </w:tcPr>
          <w:p w:rsidR="000F0B75" w:rsidRPr="00E05DE4" w:rsidRDefault="000F0B75" w:rsidP="00C819CB">
            <w:pPr>
              <w:jc w:val="center"/>
              <w:rPr>
                <w:rFonts w:cstheme="minorHAnsi"/>
                <w:sz w:val="16"/>
                <w:szCs w:val="16"/>
                <w:lang w:val="en-GB"/>
              </w:rPr>
            </w:pPr>
          </w:p>
        </w:tc>
        <w:tc>
          <w:tcPr>
            <w:tcW w:w="271"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471"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305" w:type="pct"/>
            <w:hideMark/>
          </w:tcPr>
          <w:p w:rsidR="000F0B75" w:rsidRPr="00E05DE4" w:rsidRDefault="000F0B75" w:rsidP="000F0B75">
            <w:pPr>
              <w:rPr>
                <w:rFonts w:cstheme="minorHAnsi"/>
                <w:sz w:val="16"/>
                <w:szCs w:val="16"/>
                <w:lang w:val="en-GB"/>
              </w:rPr>
            </w:pPr>
            <w:r w:rsidRPr="00E05DE4">
              <w:rPr>
                <w:rFonts w:cstheme="minorHAnsi"/>
                <w:sz w:val="16"/>
                <w:szCs w:val="16"/>
                <w:lang w:val="en-GB"/>
              </w:rPr>
              <w:t> </w:t>
            </w:r>
          </w:p>
        </w:tc>
        <w:tc>
          <w:tcPr>
            <w:tcW w:w="524" w:type="pct"/>
            <w:noWrap/>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br/>
              <w:t>** The provisions of the Directive on:</w:t>
            </w:r>
            <w:r w:rsidRPr="00E05DE4">
              <w:rPr>
                <w:rFonts w:cstheme="minorHAnsi"/>
                <w:sz w:val="16"/>
                <w:szCs w:val="16"/>
                <w:lang w:val="en-GB"/>
              </w:rPr>
              <w:br/>
              <w:t xml:space="preserve">- establishment of an effective sampling system and appropriate analytical </w:t>
            </w:r>
            <w:r w:rsidRPr="00E05DE4">
              <w:rPr>
                <w:rFonts w:cstheme="minorHAnsi"/>
                <w:sz w:val="16"/>
                <w:szCs w:val="16"/>
                <w:lang w:val="en-GB"/>
              </w:rPr>
              <w:lastRenderedPageBreak/>
              <w:t xml:space="preserve">methods of analysis (Article 6); </w:t>
            </w:r>
            <w:r w:rsidRPr="00E05DE4">
              <w:rPr>
                <w:rFonts w:cstheme="minorHAnsi"/>
                <w:sz w:val="16"/>
                <w:szCs w:val="16"/>
                <w:lang w:val="en-GB"/>
              </w:rPr>
              <w:br/>
              <w:t xml:space="preserve">- prohibition of use of heavy fuel oil and gas oil with a sulphur content greater than established limit values (Articles 3(1) and 4(1)); </w:t>
            </w:r>
            <w:r w:rsidRPr="00E05DE4">
              <w:rPr>
                <w:rFonts w:cstheme="minorHAnsi"/>
                <w:sz w:val="16"/>
                <w:szCs w:val="16"/>
                <w:lang w:val="en-GB"/>
              </w:rPr>
              <w:br/>
              <w:t xml:space="preserve">- application of limit values for the sulphur content of marine fuels (Articles 4a and 4b).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905"/>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lastRenderedPageBreak/>
              <w:t>**Directive 94/63/EC of 20 December 1994 on the control of volatile organic compound (VOC) emissions resulting from the storage of petrol and its distribution from terminals to service stations</w:t>
            </w:r>
            <w:r w:rsidRPr="00E05DE4">
              <w:rPr>
                <w:rFonts w:cstheme="minorHAnsi"/>
                <w:sz w:val="16"/>
                <w:szCs w:val="16"/>
                <w:lang w:val="en-GB"/>
              </w:rPr>
              <w:br/>
              <w:t xml:space="preserve"> </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2019**</w:t>
            </w:r>
          </w:p>
        </w:tc>
        <w:tc>
          <w:tcPr>
            <w:tcW w:w="292"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NO</w:t>
            </w: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br/>
            </w:r>
            <w:r w:rsidRPr="00E05DE4">
              <w:rPr>
                <w:rFonts w:cstheme="minorHAnsi"/>
                <w:sz w:val="16"/>
                <w:szCs w:val="16"/>
                <w:lang w:val="en-GB"/>
              </w:rPr>
              <w:br/>
              <w:t xml:space="preserve">** The provisions of the Directive on establishment of technical measures to reduce loss of petrol from storage installations at terminals and service stations and during loading/unloading mobile containers at terminals (Articles 3, 4 and 6 and Annex III).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935"/>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94/63/EC of 20 December 1994 on the control of volatile organic compound (VOC) emissions resulting from the storage of petrol and its distribution from terminals to service stations</w:t>
            </w:r>
            <w:r w:rsidRPr="00E05DE4">
              <w:rPr>
                <w:rFonts w:cstheme="minorHAnsi"/>
                <w:sz w:val="16"/>
                <w:szCs w:val="16"/>
                <w:lang w:val="en-GB"/>
              </w:rPr>
              <w:br/>
              <w:t xml:space="preserve"> </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2021***</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br/>
            </w:r>
            <w:r w:rsidRPr="00E05DE4">
              <w:rPr>
                <w:rFonts w:cstheme="minorHAnsi"/>
                <w:sz w:val="16"/>
                <w:szCs w:val="16"/>
                <w:lang w:val="en-GB"/>
              </w:rPr>
              <w:br/>
              <w:t xml:space="preserve">*** The provisions of the Directive on requiring all road tanker loading gantries and mobile containers to meet the requirements (Articles 4 and 5).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2055"/>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lastRenderedPageBreak/>
              <w:t>**Directive 2004/42/EC of the European Parliament and of the Council of 21 April 2004 on the limitation of emissions of volatile organic compounds due to the use of organic solvents in certain paints and varnishes and vehicle refinishing products</w:t>
            </w:r>
            <w:r w:rsidRPr="00E05DE4">
              <w:rPr>
                <w:rFonts w:cstheme="minorHAnsi"/>
                <w:sz w:val="16"/>
                <w:szCs w:val="16"/>
                <w:lang w:val="en-GB"/>
              </w:rPr>
              <w:br/>
              <w:t xml:space="preserve"> </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2023**</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br/>
              <w:t xml:space="preserve">** The provisions of the Directive on: </w:t>
            </w:r>
            <w:r w:rsidRPr="00E05DE4">
              <w:rPr>
                <w:rFonts w:cstheme="minorHAnsi"/>
                <w:sz w:val="16"/>
                <w:szCs w:val="16"/>
                <w:lang w:val="en-GB"/>
              </w:rPr>
              <w:br/>
              <w:t xml:space="preserve">- setting up maximum VOC content limit values for paints and varnishes (Article 3 and Annex II); </w:t>
            </w:r>
            <w:r w:rsidRPr="00E05DE4">
              <w:rPr>
                <w:rFonts w:cstheme="minorHAnsi"/>
                <w:sz w:val="16"/>
                <w:szCs w:val="16"/>
                <w:lang w:val="en-GB"/>
              </w:rPr>
              <w:br/>
              <w:t xml:space="preserve">- establishment of requirements ensuring labelling of products placed on the market and placing on the market of products complying with relevant requirements (Articles 3 and 4).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575"/>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2000/60/EC of the European Parliament and of the Council of 23 October 2000 establishing a framework for Community action in the field of water policy</w:t>
            </w:r>
            <w:r w:rsidRPr="00E05DE4">
              <w:rPr>
                <w:rFonts w:cstheme="minorHAnsi"/>
                <w:sz w:val="16"/>
                <w:szCs w:val="16"/>
                <w:lang w:val="en-GB"/>
              </w:rPr>
              <w:br/>
              <w:t xml:space="preserve"> </w:t>
            </w:r>
          </w:p>
        </w:tc>
        <w:tc>
          <w:tcPr>
            <w:tcW w:w="278" w:type="pct"/>
            <w:noWrap/>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2019**</w:t>
            </w:r>
          </w:p>
        </w:tc>
        <w:tc>
          <w:tcPr>
            <w:tcW w:w="292"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NO**</w:t>
            </w: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The provisions of the Directive on analysis of the characteristics of river basin districts (Article 5).</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530"/>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2000/60/EC of the European Parliament and of the Council of 23 October 2000 establishing a framework for Community action in the field of water policy</w:t>
            </w:r>
            <w:r w:rsidRPr="00E05DE4">
              <w:rPr>
                <w:rFonts w:cstheme="minorHAnsi"/>
                <w:sz w:val="16"/>
                <w:szCs w:val="16"/>
                <w:lang w:val="en-GB"/>
              </w:rPr>
              <w:br/>
              <w:t xml:space="preserve"> </w:t>
            </w:r>
          </w:p>
        </w:tc>
        <w:tc>
          <w:tcPr>
            <w:tcW w:w="278" w:type="pct"/>
            <w:noWrap/>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2020/2022***</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The provisions of the Directive on establishment of programmes for monitoring water quality (Article 8): - provisions related to ground water to be implemented 2022; - provisions related to surface water to be implemented by 2020.</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395"/>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lastRenderedPageBreak/>
              <w:t>****Directive 2000/60/EC of the European Parliament and of the Council of 23 October 2000 establishing a framework for Community action in the field of water policy</w:t>
            </w:r>
            <w:r w:rsidRPr="00E05DE4">
              <w:rPr>
                <w:rFonts w:cstheme="minorHAnsi"/>
                <w:sz w:val="16"/>
                <w:szCs w:val="16"/>
                <w:lang w:val="en-GB"/>
              </w:rPr>
              <w:br/>
              <w:t xml:space="preserve"> </w:t>
            </w:r>
          </w:p>
        </w:tc>
        <w:tc>
          <w:tcPr>
            <w:tcW w:w="278" w:type="pct"/>
            <w:noWrap/>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2024****</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xml:space="preserve">**** The provisions of the Directive on preparation of river basin management plans, consultations with the public and publication of these plans (Articles 13 and 14).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410"/>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2007/60/EC of the European Parliament and of the Council of 23 October 2007 on the assessment and management of flood risks</w:t>
            </w:r>
            <w:r w:rsidRPr="00E05DE4">
              <w:rPr>
                <w:rFonts w:cstheme="minorHAnsi"/>
                <w:sz w:val="16"/>
                <w:szCs w:val="16"/>
                <w:lang w:val="en-GB"/>
              </w:rPr>
              <w:br/>
            </w:r>
            <w:r w:rsidRPr="00E05DE4">
              <w:rPr>
                <w:rFonts w:cstheme="minorHAnsi"/>
                <w:sz w:val="16"/>
                <w:szCs w:val="16"/>
                <w:lang w:val="en-GB"/>
              </w:rPr>
              <w:br/>
              <w:t xml:space="preserve">  </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2019**</w:t>
            </w:r>
          </w:p>
        </w:tc>
        <w:tc>
          <w:tcPr>
            <w:tcW w:w="292"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NO</w:t>
            </w: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xml:space="preserve">** The provisions of the Directive on undertaking preliminary flood assessment (Articles 4 and 5).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365"/>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2007/60/EC of the European Parliament and of the Council of 23 October 2007 on the assessment and management of flood risks</w:t>
            </w:r>
            <w:r w:rsidRPr="00E05DE4">
              <w:rPr>
                <w:rFonts w:cstheme="minorHAnsi"/>
                <w:sz w:val="16"/>
                <w:szCs w:val="16"/>
                <w:lang w:val="en-GB"/>
              </w:rPr>
              <w:br/>
            </w:r>
            <w:r w:rsidRPr="00E05DE4">
              <w:rPr>
                <w:rFonts w:cstheme="minorHAnsi"/>
                <w:sz w:val="16"/>
                <w:szCs w:val="16"/>
                <w:lang w:val="en-GB"/>
              </w:rPr>
              <w:br/>
              <w:t xml:space="preserve">  </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2021***</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xml:space="preserve">*** The provisions of the Directive on preparation of flood hazards maps and flood risks maps (Article 6).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230"/>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2007/60/EC of the European Parliament and of the Council of 23 October 2007 on the assessment and management of flood risks</w:t>
            </w:r>
            <w:r w:rsidRPr="00E05DE4">
              <w:rPr>
                <w:rFonts w:cstheme="minorHAnsi"/>
                <w:sz w:val="16"/>
                <w:szCs w:val="16"/>
                <w:lang w:val="en-GB"/>
              </w:rPr>
              <w:br/>
            </w:r>
            <w:r w:rsidRPr="00E05DE4">
              <w:rPr>
                <w:rFonts w:cstheme="minorHAnsi"/>
                <w:sz w:val="16"/>
                <w:szCs w:val="16"/>
                <w:lang w:val="en-GB"/>
              </w:rPr>
              <w:br/>
              <w:t xml:space="preserve">  </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2023****</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xml:space="preserve">**** The provisions of the Directive on establishment of flood risk management plans (Article 7).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350"/>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**Council Directive 91/676/EEC of 12 December 1991 concerning the protection of waters against pollution caused by nitrates from agricultural sources</w:t>
            </w:r>
            <w:r w:rsidRPr="00E05DE4">
              <w:rPr>
                <w:rFonts w:cstheme="minorHAnsi"/>
                <w:sz w:val="16"/>
                <w:szCs w:val="16"/>
                <w:lang w:val="en-GB"/>
              </w:rPr>
              <w:br/>
              <w:t xml:space="preserve"> </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2022/2019**</w:t>
            </w:r>
          </w:p>
        </w:tc>
        <w:tc>
          <w:tcPr>
            <w:tcW w:w="292"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NO</w:t>
            </w: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br/>
              <w:t>** The provisions of the Directive on:</w:t>
            </w:r>
            <w:r w:rsidRPr="00E05DE4">
              <w:rPr>
                <w:rFonts w:cstheme="minorHAnsi"/>
                <w:sz w:val="16"/>
                <w:szCs w:val="16"/>
                <w:lang w:val="en-GB"/>
              </w:rPr>
              <w:br/>
              <w:t xml:space="preserve">- establishment of monitoring programmes (Article 6) [provisions related to ground water to be implemented by 2022; </w:t>
            </w:r>
            <w:r w:rsidRPr="00E05DE4">
              <w:rPr>
                <w:rFonts w:cstheme="minorHAnsi"/>
                <w:sz w:val="16"/>
                <w:szCs w:val="16"/>
                <w:lang w:val="en-GB"/>
              </w:rPr>
              <w:br/>
              <w:t>- provisions related to surface water to be implemented by 2019;</w:t>
            </w:r>
            <w:r w:rsidRPr="00E05DE4">
              <w:rPr>
                <w:rFonts w:cstheme="minorHAnsi"/>
                <w:sz w:val="16"/>
                <w:szCs w:val="16"/>
                <w:lang w:val="en-GB"/>
              </w:rPr>
              <w:br/>
            </w:r>
            <w:r w:rsidRPr="00E05DE4">
              <w:rPr>
                <w:rFonts w:cstheme="minorHAnsi"/>
                <w:sz w:val="16"/>
                <w:szCs w:val="16"/>
                <w:lang w:val="en-GB"/>
              </w:rPr>
              <w:lastRenderedPageBreak/>
              <w:t>- identification of polluted waters or waters at risk and designation of nitrate vulnerable zones (Article 3) [provisions on related to ground water to be implemented by 2022; provisions related to surface water to be implemented by 2019.</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665"/>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lastRenderedPageBreak/>
              <w:t>***Council Directive 91/676/EEC of 12 December 1991 concerning the protection of waters against pollution caused by nitrates from agricultural sources</w:t>
            </w:r>
            <w:r w:rsidRPr="00E05DE4">
              <w:rPr>
                <w:rFonts w:cstheme="minorHAnsi"/>
                <w:sz w:val="16"/>
                <w:szCs w:val="16"/>
                <w:lang w:val="en-GB"/>
              </w:rPr>
              <w:br/>
              <w:t xml:space="preserve"> </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2021***</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br/>
              <w:t xml:space="preserve">*** The provisions of the Directive on establishment of action plans and codes of good agricultural practices for nitrate vulnerable zones (Articles 4 and 5).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725"/>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2008/56/EC of the European Parliament and of the Council of 17 June 2008 establishing a framework for Community action in the field of marine environmental policy</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2019**</w:t>
            </w:r>
          </w:p>
        </w:tc>
        <w:tc>
          <w:tcPr>
            <w:tcW w:w="292"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NO**</w:t>
            </w: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br/>
              <w:t xml:space="preserve">** The provisions of the Directive on initial assessment of marine waters, determination of good environmental status and establishment of environmental targets and indicators (Article 5 and Articles 8 to 10);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770"/>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2008/56/EC of the European Parliament and of the Council of 17 June 2008 establishing a framework for Community action in the field of marine environmental policy</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br/>
              <w:t>2021***</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xml:space="preserve">*** The provisions of the Directive on establishment of a monitoring programme for ongoing assessment and regular updating of targets (Articles 5 and 11).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710"/>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lastRenderedPageBreak/>
              <w:t>****Directive 2008/56/EC of the European Parliament and of the Council of 17 June 2008 establishing a framework for Community action in the field of marine environmental policy</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br/>
              <w:t>2022****</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br/>
              <w:t xml:space="preserve">**** The provisions of the Directive on: </w:t>
            </w:r>
            <w:r w:rsidRPr="00E05DE4">
              <w:rPr>
                <w:rFonts w:cstheme="minorHAnsi"/>
                <w:sz w:val="16"/>
                <w:szCs w:val="16"/>
                <w:lang w:val="en-GB"/>
              </w:rPr>
              <w:br/>
              <w:t xml:space="preserve">- development of a marine strategy in cooperation with relevant EU MS (Articles 5 and 6) (in the case of cooperation with non-EU MS, the commitments of Georgia under the Article 6(2) will be aligned on those provided for by the Black Sea Convention); </w:t>
            </w:r>
            <w:r w:rsidRPr="00E05DE4">
              <w:rPr>
                <w:rFonts w:cstheme="minorHAnsi"/>
                <w:sz w:val="16"/>
                <w:szCs w:val="16"/>
                <w:lang w:val="en-GB"/>
              </w:rPr>
              <w:br/>
              <w:t xml:space="preserve">- preparation of a programme of measures to achieve good environmental status (Articles 5 and 13). </w:t>
            </w:r>
          </w:p>
        </w:tc>
        <w:tc>
          <w:tcPr>
            <w:tcW w:w="524" w:type="pct"/>
          </w:tcPr>
          <w:p w:rsidR="000F0B75" w:rsidRPr="00E05DE4" w:rsidRDefault="000F0B75" w:rsidP="00C819CB">
            <w:pPr>
              <w:jc w:val="both"/>
              <w:rPr>
                <w:rFonts w:cstheme="minorHAnsi"/>
                <w:sz w:val="16"/>
                <w:szCs w:val="16"/>
                <w:lang w:val="en-GB"/>
              </w:rPr>
            </w:pPr>
          </w:p>
        </w:tc>
      </w:tr>
      <w:tr w:rsidR="00E311E7" w:rsidRPr="00E05DE4" w:rsidTr="00F07528">
        <w:trPr>
          <w:trHeight w:val="1710"/>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****Council Directive 1999/31/EC of 26 April 1999 on the landfill of waste 2017*</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2022****</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spacing w:after="160"/>
              <w:jc w:val="both"/>
              <w:rPr>
                <w:rFonts w:cstheme="minorHAnsi"/>
                <w:sz w:val="16"/>
                <w:szCs w:val="16"/>
                <w:lang w:val="en-GB"/>
              </w:rPr>
            </w:pPr>
            <w:r w:rsidRPr="00E05DE4">
              <w:rPr>
                <w:rFonts w:cstheme="minorHAnsi"/>
                <w:sz w:val="16"/>
                <w:szCs w:val="16"/>
                <w:lang w:val="en-GB"/>
              </w:rPr>
              <w:t xml:space="preserve">.**** The provisions of the Directive on: </w:t>
            </w:r>
            <w:r w:rsidRPr="00E05DE4">
              <w:rPr>
                <w:rFonts w:cstheme="minorHAnsi"/>
                <w:sz w:val="16"/>
                <w:szCs w:val="16"/>
                <w:lang w:val="en-GB"/>
              </w:rPr>
              <w:br/>
              <w:t>- waste not accepted in a landfill (Article 5(3) and 5(4));</w:t>
            </w:r>
            <w:r w:rsidRPr="00E05DE4">
              <w:rPr>
                <w:rFonts w:cstheme="minorHAnsi"/>
                <w:sz w:val="16"/>
                <w:szCs w:val="16"/>
                <w:lang w:val="en-GB"/>
              </w:rPr>
              <w:br/>
              <w:t xml:space="preserve">- establishment of a costing mechanism covering setting-up and operation of a landfill, and as far as possible closure and after-care (Article 10, except for the part that refers to requirements under Article 8(a)(iv)); </w:t>
            </w:r>
            <w:r w:rsidRPr="00E05DE4">
              <w:rPr>
                <w:rFonts w:cstheme="minorHAnsi"/>
                <w:sz w:val="16"/>
                <w:szCs w:val="16"/>
                <w:lang w:val="en-GB"/>
              </w:rPr>
              <w:br/>
              <w:t xml:space="preserve">- ensuring the relevant waste is subject to treatment before landfilling (Article 6). </w:t>
            </w:r>
          </w:p>
        </w:tc>
        <w:tc>
          <w:tcPr>
            <w:tcW w:w="524" w:type="pct"/>
          </w:tcPr>
          <w:p w:rsidR="000F0B75" w:rsidRPr="00E05DE4" w:rsidRDefault="000F0B75" w:rsidP="000F0B75">
            <w:pPr>
              <w:rPr>
                <w:rFonts w:cstheme="minorHAnsi"/>
                <w:sz w:val="16"/>
                <w:szCs w:val="16"/>
                <w:lang w:val="en-GB"/>
              </w:rPr>
            </w:pPr>
          </w:p>
        </w:tc>
      </w:tr>
      <w:tr w:rsidR="00E311E7" w:rsidRPr="00E05DE4" w:rsidTr="00F07528">
        <w:trPr>
          <w:trHeight w:val="1140"/>
        </w:trPr>
        <w:tc>
          <w:tcPr>
            <w:tcW w:w="785" w:type="pct"/>
            <w:hideMark/>
          </w:tcPr>
          <w:p w:rsidR="000F0B75" w:rsidRPr="00E05DE4" w:rsidRDefault="000F0B75" w:rsidP="00C819CB">
            <w:pPr>
              <w:spacing w:after="160"/>
              <w:jc w:val="both"/>
              <w:rPr>
                <w:rFonts w:cstheme="minorHAnsi"/>
                <w:sz w:val="16"/>
                <w:szCs w:val="16"/>
                <w:lang w:val="en-GB"/>
              </w:rPr>
            </w:pPr>
            <w:r w:rsidRPr="00E05DE4">
              <w:rPr>
                <w:rFonts w:cstheme="minorHAnsi"/>
                <w:sz w:val="16"/>
                <w:szCs w:val="16"/>
                <w:lang w:val="en-GB"/>
              </w:rPr>
              <w:lastRenderedPageBreak/>
              <w:t>**Directive 2006/21/EC of the European Parliament and of the Council of 15 March 2006 on the management of waste from extractive industries</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2019**</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xml:space="preserve">** The provisions of the Directive on establishment of a system to ensure that operators draw up waste management plans; identification and classification of waste facilities (Articles 4 and 9 and Annex III, first indent). </w:t>
            </w:r>
          </w:p>
        </w:tc>
        <w:tc>
          <w:tcPr>
            <w:tcW w:w="524" w:type="pct"/>
          </w:tcPr>
          <w:p w:rsidR="000F0B75" w:rsidRPr="00E05DE4" w:rsidRDefault="000F0B75">
            <w:pPr>
              <w:rPr>
                <w:rFonts w:cstheme="minorHAnsi"/>
                <w:sz w:val="16"/>
                <w:szCs w:val="16"/>
                <w:lang w:val="en-GB"/>
              </w:rPr>
            </w:pPr>
          </w:p>
        </w:tc>
      </w:tr>
      <w:tr w:rsidR="00E311E7" w:rsidRPr="00E05DE4" w:rsidTr="00F07528">
        <w:trPr>
          <w:trHeight w:val="1485"/>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2006/21/EC of the European Parliament and of the Council of 15 March 2006 on the management of waste from extractive industries</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2020***</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vAlign w:val="center"/>
            <w:hideMark/>
          </w:tcPr>
          <w:p w:rsidR="000F0B75" w:rsidRPr="00E05DE4" w:rsidRDefault="000F0B75" w:rsidP="00F07528">
            <w:pPr>
              <w:jc w:val="center"/>
              <w:rPr>
                <w:rFonts w:cstheme="minorHAnsi"/>
                <w:sz w:val="16"/>
                <w:szCs w:val="16"/>
                <w:lang w:val="en-GB"/>
              </w:rPr>
            </w:pPr>
          </w:p>
        </w:tc>
        <w:tc>
          <w:tcPr>
            <w:tcW w:w="471" w:type="pct"/>
            <w:vAlign w:val="center"/>
            <w:hideMark/>
          </w:tcPr>
          <w:p w:rsidR="000F0B75" w:rsidRPr="00E05DE4" w:rsidRDefault="000F0B75" w:rsidP="00F07528">
            <w:pPr>
              <w:jc w:val="center"/>
              <w:rPr>
                <w:rFonts w:cstheme="minorHAnsi"/>
                <w:sz w:val="16"/>
                <w:szCs w:val="16"/>
                <w:lang w:val="en-GB"/>
              </w:rPr>
            </w:pPr>
          </w:p>
        </w:tc>
        <w:tc>
          <w:tcPr>
            <w:tcW w:w="305" w:type="pct"/>
            <w:vAlign w:val="center"/>
            <w:hideMark/>
          </w:tcPr>
          <w:p w:rsidR="000F0B75" w:rsidRPr="00E05DE4" w:rsidRDefault="000F0B75" w:rsidP="00F07528">
            <w:pPr>
              <w:jc w:val="center"/>
              <w:rPr>
                <w:rFonts w:cstheme="minorHAnsi"/>
                <w:sz w:val="16"/>
                <w:szCs w:val="16"/>
                <w:lang w:val="en-GB"/>
              </w:rPr>
            </w:pPr>
          </w:p>
        </w:tc>
        <w:tc>
          <w:tcPr>
            <w:tcW w:w="524" w:type="pct"/>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 xml:space="preserve">*** The provisions of the Directive on: </w:t>
            </w:r>
            <w:r w:rsidRPr="00E05DE4">
              <w:rPr>
                <w:rFonts w:cstheme="minorHAnsi"/>
                <w:sz w:val="16"/>
                <w:szCs w:val="16"/>
                <w:lang w:val="en-GB"/>
              </w:rPr>
              <w:br/>
              <w:t xml:space="preserve">- establishment of a permit system, of financial guarantees and of an inspection system (Articles 7 and 17); </w:t>
            </w:r>
            <w:r w:rsidRPr="00E05DE4">
              <w:rPr>
                <w:rFonts w:cstheme="minorHAnsi"/>
                <w:sz w:val="16"/>
                <w:szCs w:val="16"/>
                <w:lang w:val="en-GB"/>
              </w:rPr>
              <w:br/>
              <w:t xml:space="preserve">- establishment of procedures for the management and monitoring of excavation voids (Article 10); </w:t>
            </w:r>
            <w:r w:rsidRPr="00E05DE4">
              <w:rPr>
                <w:rFonts w:cstheme="minorHAnsi"/>
                <w:sz w:val="16"/>
                <w:szCs w:val="16"/>
                <w:lang w:val="en-GB"/>
              </w:rPr>
              <w:br/>
              <w:t xml:space="preserve">- establishment of closure and after-closure procedures for mining waste facilities (Article 12); </w:t>
            </w:r>
            <w:r w:rsidRPr="00E05DE4">
              <w:rPr>
                <w:rFonts w:cstheme="minorHAnsi"/>
                <w:sz w:val="16"/>
                <w:szCs w:val="16"/>
                <w:lang w:val="en-GB"/>
              </w:rPr>
              <w:br/>
              <w:t xml:space="preserve">- drawing up an inventory of closed mining waste facilities (Article 20). </w:t>
            </w:r>
          </w:p>
        </w:tc>
        <w:tc>
          <w:tcPr>
            <w:tcW w:w="524" w:type="pct"/>
          </w:tcPr>
          <w:p w:rsidR="000F0B75" w:rsidRPr="00E05DE4" w:rsidRDefault="000F0B75">
            <w:pPr>
              <w:rPr>
                <w:rFonts w:cstheme="minorHAnsi"/>
                <w:sz w:val="16"/>
                <w:szCs w:val="16"/>
                <w:lang w:val="en-GB"/>
              </w:rPr>
            </w:pPr>
          </w:p>
        </w:tc>
      </w:tr>
      <w:tr w:rsidR="00E311E7" w:rsidRPr="00E05DE4" w:rsidTr="00F07528">
        <w:trPr>
          <w:trHeight w:val="2100"/>
        </w:trPr>
        <w:tc>
          <w:tcPr>
            <w:tcW w:w="785" w:type="pct"/>
            <w:hideMark/>
          </w:tcPr>
          <w:p w:rsidR="000F0B75" w:rsidRPr="00E05DE4" w:rsidRDefault="000F0B75" w:rsidP="00C819CB">
            <w:pPr>
              <w:jc w:val="both"/>
              <w:rPr>
                <w:rFonts w:cstheme="minorHAnsi"/>
                <w:sz w:val="16"/>
                <w:szCs w:val="16"/>
                <w:lang w:val="en-GB"/>
              </w:rPr>
            </w:pPr>
            <w:r w:rsidRPr="00E05DE4">
              <w:rPr>
                <w:rFonts w:cstheme="minorHAnsi"/>
                <w:sz w:val="16"/>
                <w:szCs w:val="16"/>
                <w:lang w:val="en-GB"/>
              </w:rPr>
              <w:t>***Directive 2010/75/EU of the European Parliament and of the Council of 24 November 2010 on industrial emissions</w:t>
            </w:r>
          </w:p>
        </w:tc>
        <w:tc>
          <w:tcPr>
            <w:tcW w:w="278"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75" w:type="pct"/>
            <w:vAlign w:val="center"/>
            <w:hideMark/>
          </w:tcPr>
          <w:p w:rsidR="000F0B75" w:rsidRPr="00E05DE4" w:rsidRDefault="000F0B75" w:rsidP="00F07528">
            <w:pPr>
              <w:jc w:val="center"/>
              <w:rPr>
                <w:rFonts w:cstheme="minorHAnsi"/>
                <w:sz w:val="16"/>
                <w:szCs w:val="16"/>
                <w:lang w:val="en-GB"/>
              </w:rPr>
            </w:pPr>
            <w:r w:rsidRPr="00E05DE4">
              <w:rPr>
                <w:rFonts w:cstheme="minorHAnsi"/>
                <w:sz w:val="16"/>
                <w:szCs w:val="16"/>
                <w:lang w:val="en-GB"/>
              </w:rPr>
              <w:t>2026***</w:t>
            </w:r>
          </w:p>
        </w:tc>
        <w:tc>
          <w:tcPr>
            <w:tcW w:w="292" w:type="pct"/>
            <w:vAlign w:val="center"/>
            <w:hideMark/>
          </w:tcPr>
          <w:p w:rsidR="000F0B75" w:rsidRPr="00E05DE4" w:rsidRDefault="000F0B75" w:rsidP="00F07528">
            <w:pPr>
              <w:jc w:val="center"/>
              <w:rPr>
                <w:rFonts w:cstheme="minorHAnsi"/>
                <w:sz w:val="16"/>
                <w:szCs w:val="16"/>
                <w:lang w:val="en-GB"/>
              </w:rPr>
            </w:pPr>
          </w:p>
        </w:tc>
        <w:tc>
          <w:tcPr>
            <w:tcW w:w="271" w:type="pct"/>
            <w:noWrap/>
            <w:vAlign w:val="center"/>
            <w:hideMark/>
          </w:tcPr>
          <w:p w:rsidR="000F0B75" w:rsidRPr="00E05DE4" w:rsidRDefault="000F0B75" w:rsidP="00F07528">
            <w:pPr>
              <w:jc w:val="center"/>
              <w:rPr>
                <w:rFonts w:cstheme="minorHAnsi"/>
                <w:sz w:val="16"/>
                <w:szCs w:val="16"/>
                <w:lang w:val="en-GB"/>
              </w:rPr>
            </w:pPr>
          </w:p>
        </w:tc>
        <w:tc>
          <w:tcPr>
            <w:tcW w:w="471" w:type="pct"/>
            <w:noWrap/>
            <w:vAlign w:val="center"/>
            <w:hideMark/>
          </w:tcPr>
          <w:p w:rsidR="000F0B75" w:rsidRPr="00E05DE4" w:rsidRDefault="000F0B75" w:rsidP="00F07528">
            <w:pPr>
              <w:jc w:val="center"/>
              <w:rPr>
                <w:rFonts w:cstheme="minorHAnsi"/>
                <w:sz w:val="16"/>
                <w:szCs w:val="16"/>
                <w:lang w:val="en-GB"/>
              </w:rPr>
            </w:pPr>
          </w:p>
        </w:tc>
        <w:tc>
          <w:tcPr>
            <w:tcW w:w="305" w:type="pct"/>
            <w:noWrap/>
            <w:vAlign w:val="center"/>
            <w:hideMark/>
          </w:tcPr>
          <w:p w:rsidR="000F0B75" w:rsidRPr="00E05DE4" w:rsidRDefault="000F0B75" w:rsidP="00F07528">
            <w:pPr>
              <w:jc w:val="center"/>
              <w:rPr>
                <w:rFonts w:cstheme="minorHAnsi"/>
                <w:sz w:val="16"/>
                <w:szCs w:val="16"/>
                <w:lang w:val="en-GB"/>
              </w:rPr>
            </w:pPr>
          </w:p>
        </w:tc>
        <w:tc>
          <w:tcPr>
            <w:tcW w:w="524" w:type="pct"/>
            <w:noWrap/>
            <w:vAlign w:val="center"/>
            <w:hideMark/>
          </w:tcPr>
          <w:p w:rsidR="000F0B75" w:rsidRPr="00E05DE4" w:rsidRDefault="000F0B75" w:rsidP="00F07528">
            <w:pPr>
              <w:jc w:val="center"/>
              <w:rPr>
                <w:rFonts w:cstheme="minorHAnsi"/>
                <w:sz w:val="16"/>
                <w:szCs w:val="16"/>
                <w:lang w:val="en-GB"/>
              </w:rPr>
            </w:pPr>
          </w:p>
        </w:tc>
        <w:tc>
          <w:tcPr>
            <w:tcW w:w="266" w:type="pct"/>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356" w:type="pct"/>
            <w:noWrap/>
            <w:hideMark/>
          </w:tcPr>
          <w:p w:rsidR="000F0B75" w:rsidRPr="00E05DE4" w:rsidRDefault="000F0B75">
            <w:pPr>
              <w:rPr>
                <w:rFonts w:cstheme="minorHAnsi"/>
                <w:sz w:val="16"/>
                <w:szCs w:val="16"/>
                <w:lang w:val="en-GB"/>
              </w:rPr>
            </w:pPr>
            <w:r w:rsidRPr="00E05DE4">
              <w:rPr>
                <w:rFonts w:cstheme="minorHAnsi"/>
                <w:sz w:val="16"/>
                <w:szCs w:val="16"/>
                <w:lang w:val="en-GB"/>
              </w:rPr>
              <w:t> </w:t>
            </w:r>
          </w:p>
        </w:tc>
        <w:tc>
          <w:tcPr>
            <w:tcW w:w="453" w:type="pct"/>
            <w:hideMark/>
          </w:tcPr>
          <w:p w:rsidR="000F0B75" w:rsidRPr="00E05DE4" w:rsidRDefault="000F0B75" w:rsidP="00C819CB">
            <w:pPr>
              <w:spacing w:after="160"/>
              <w:jc w:val="both"/>
              <w:rPr>
                <w:rFonts w:cstheme="minorHAnsi"/>
                <w:sz w:val="16"/>
                <w:szCs w:val="16"/>
                <w:lang w:val="en-GB"/>
              </w:rPr>
            </w:pPr>
            <w:r w:rsidRPr="00E05DE4">
              <w:rPr>
                <w:rFonts w:cstheme="minorHAnsi"/>
                <w:sz w:val="16"/>
                <w:szCs w:val="16"/>
                <w:lang w:val="en-GB"/>
              </w:rPr>
              <w:br/>
              <w:t>*** The provisions of the Directive on:</w:t>
            </w:r>
            <w:r w:rsidRPr="00E05DE4">
              <w:rPr>
                <w:rFonts w:cstheme="minorHAnsi"/>
                <w:sz w:val="16"/>
                <w:szCs w:val="16"/>
                <w:lang w:val="en-GB"/>
              </w:rPr>
              <w:br/>
              <w:t xml:space="preserve">- implementation of BAT taking into account the BAT conclusions of the BREFs (Article 14(3) to (6) and Article 15(2) to (4)); </w:t>
            </w:r>
            <w:r w:rsidRPr="00E05DE4">
              <w:rPr>
                <w:rFonts w:cstheme="minorHAnsi"/>
                <w:sz w:val="16"/>
                <w:szCs w:val="16"/>
                <w:lang w:val="en-GB"/>
              </w:rPr>
              <w:br/>
            </w:r>
            <w:r w:rsidRPr="00E05DE4">
              <w:rPr>
                <w:rFonts w:cstheme="minorHAnsi"/>
                <w:sz w:val="16"/>
                <w:szCs w:val="16"/>
                <w:lang w:val="en-GB"/>
              </w:rPr>
              <w:lastRenderedPageBreak/>
              <w:t>- establishment of emission limit values for combustion plants (Article 30 and Annex V) for existing installations;</w:t>
            </w:r>
            <w:r w:rsidRPr="00E05DE4">
              <w:rPr>
                <w:rFonts w:cstheme="minorHAnsi"/>
                <w:sz w:val="16"/>
                <w:szCs w:val="16"/>
                <w:lang w:val="en-GB"/>
              </w:rPr>
              <w:br/>
              <w:t xml:space="preserve">- preparation of transitional national plans to reduce total annual emissions from existing plants (optional to setting emission limit values for existing plants) (Article 32). </w:t>
            </w:r>
          </w:p>
        </w:tc>
        <w:tc>
          <w:tcPr>
            <w:tcW w:w="524" w:type="pct"/>
          </w:tcPr>
          <w:p w:rsidR="000F0B75" w:rsidRPr="00E05DE4" w:rsidRDefault="000F0B75" w:rsidP="000F0B75">
            <w:pPr>
              <w:rPr>
                <w:rFonts w:cstheme="minorHAnsi"/>
                <w:sz w:val="16"/>
                <w:szCs w:val="16"/>
                <w:lang w:val="en-GB"/>
              </w:rPr>
            </w:pPr>
          </w:p>
        </w:tc>
      </w:tr>
    </w:tbl>
    <w:p w:rsidR="00484742" w:rsidRPr="00E05DE4" w:rsidRDefault="00484742">
      <w:pPr>
        <w:rPr>
          <w:lang w:val="en-GB"/>
        </w:rPr>
      </w:pPr>
    </w:p>
    <w:tbl>
      <w:tblPr>
        <w:tblW w:w="5381"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948"/>
        <w:gridCol w:w="1155"/>
        <w:gridCol w:w="873"/>
        <w:gridCol w:w="1062"/>
        <w:gridCol w:w="945"/>
        <w:gridCol w:w="1759"/>
        <w:gridCol w:w="2020"/>
        <w:gridCol w:w="824"/>
        <w:gridCol w:w="1121"/>
        <w:gridCol w:w="1360"/>
        <w:gridCol w:w="1834"/>
      </w:tblGrid>
      <w:tr w:rsidR="00484742" w:rsidRPr="00E05DE4" w:rsidTr="004D4135">
        <w:trPr>
          <w:trHeight w:val="755"/>
        </w:trPr>
        <w:tc>
          <w:tcPr>
            <w:tcW w:w="5000" w:type="pct"/>
            <w:gridSpan w:val="12"/>
            <w:shd w:val="clear" w:color="auto" w:fill="9CC2E5" w:themeFill="accent1" w:themeFillTint="99"/>
            <w:vAlign w:val="center"/>
          </w:tcPr>
          <w:p w:rsidR="00484742" w:rsidRPr="00E05DE4" w:rsidRDefault="00484742" w:rsidP="00484742">
            <w:pPr>
              <w:spacing w:after="0" w:line="240" w:lineRule="auto"/>
              <w:jc w:val="center"/>
              <w:rPr>
                <w:rFonts w:eastAsia="Times New Roman" w:cstheme="minorHAnsi"/>
                <w:b/>
                <w:bCs/>
                <w:sz w:val="20"/>
                <w:szCs w:val="20"/>
                <w:lang w:val="en-GB"/>
              </w:rPr>
            </w:pPr>
            <w:r w:rsidRPr="00E05DE4">
              <w:rPr>
                <w:rFonts w:eastAsia="Times New Roman" w:cstheme="minorHAnsi"/>
                <w:b/>
                <w:bCs/>
                <w:sz w:val="20"/>
                <w:szCs w:val="20"/>
                <w:lang w:val="en-GB"/>
              </w:rPr>
              <w:t>TRANSPORT</w:t>
            </w:r>
          </w:p>
        </w:tc>
      </w:tr>
      <w:tr w:rsidR="00C819CB" w:rsidRPr="00E05DE4" w:rsidTr="00EC2B9D">
        <w:trPr>
          <w:trHeight w:val="495"/>
        </w:trPr>
        <w:tc>
          <w:tcPr>
            <w:tcW w:w="818" w:type="pct"/>
            <w:gridSpan w:val="2"/>
            <w:shd w:val="clear" w:color="000000" w:fill="FFE699"/>
            <w:vAlign w:val="center"/>
            <w:hideMark/>
          </w:tcPr>
          <w:p w:rsidR="00C819CB" w:rsidRPr="00E05DE4" w:rsidRDefault="00C819CB" w:rsidP="00484742">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EU Law</w:t>
            </w:r>
          </w:p>
        </w:tc>
        <w:tc>
          <w:tcPr>
            <w:tcW w:w="373" w:type="pct"/>
            <w:vMerge w:val="restart"/>
            <w:shd w:val="clear" w:color="000000" w:fill="FFD966"/>
            <w:vAlign w:val="center"/>
            <w:hideMark/>
          </w:tcPr>
          <w:p w:rsidR="00C819CB" w:rsidRPr="00E05DE4" w:rsidRDefault="00C819CB" w:rsidP="00484742">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Deadline</w:t>
            </w:r>
          </w:p>
        </w:tc>
        <w:tc>
          <w:tcPr>
            <w:tcW w:w="282" w:type="pct"/>
            <w:vMerge w:val="restart"/>
            <w:shd w:val="clear" w:color="000000" w:fill="70AD47"/>
            <w:vAlign w:val="center"/>
            <w:hideMark/>
          </w:tcPr>
          <w:p w:rsidR="00C819CB" w:rsidRPr="00E05DE4" w:rsidRDefault="00C819CB" w:rsidP="00484742">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LA </w:t>
            </w:r>
            <w:r w:rsidRPr="00E05DE4">
              <w:rPr>
                <w:rFonts w:eastAsia="Times New Roman" w:cstheme="minorHAnsi"/>
                <w:b/>
                <w:bCs/>
                <w:sz w:val="16"/>
                <w:szCs w:val="16"/>
                <w:lang w:val="en-GB"/>
              </w:rPr>
              <w:br/>
              <w:t>Status</w:t>
            </w:r>
          </w:p>
        </w:tc>
        <w:tc>
          <w:tcPr>
            <w:tcW w:w="648" w:type="pct"/>
            <w:gridSpan w:val="2"/>
            <w:shd w:val="clear" w:color="000000" w:fill="A9D08E"/>
            <w:noWrap/>
            <w:vAlign w:val="center"/>
            <w:hideMark/>
          </w:tcPr>
          <w:p w:rsidR="00C819CB" w:rsidRPr="00E05DE4" w:rsidRDefault="00C819CB" w:rsidP="00C819CB">
            <w:pPr>
              <w:spacing w:after="0" w:line="240" w:lineRule="auto"/>
              <w:jc w:val="center"/>
              <w:rPr>
                <w:rFonts w:eastAsia="Times New Roman" w:cstheme="minorHAnsi"/>
                <w:b/>
                <w:bCs/>
                <w:sz w:val="16"/>
                <w:szCs w:val="16"/>
                <w:lang w:val="en-GB"/>
              </w:rPr>
            </w:pPr>
          </w:p>
          <w:p w:rsidR="00C819CB" w:rsidRPr="00E05DE4" w:rsidRDefault="00C819CB" w:rsidP="00C819CB">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Year</w:t>
            </w:r>
          </w:p>
          <w:p w:rsidR="00C819CB" w:rsidRPr="00E05DE4" w:rsidRDefault="00C819CB" w:rsidP="00C819CB">
            <w:pPr>
              <w:spacing w:after="0" w:line="240" w:lineRule="auto"/>
              <w:jc w:val="center"/>
              <w:rPr>
                <w:rFonts w:eastAsia="Times New Roman" w:cstheme="minorHAnsi"/>
                <w:b/>
                <w:bCs/>
                <w:color w:val="FFFFFF"/>
                <w:sz w:val="16"/>
                <w:szCs w:val="16"/>
                <w:lang w:val="en-GB"/>
              </w:rPr>
            </w:pPr>
          </w:p>
        </w:tc>
        <w:tc>
          <w:tcPr>
            <w:tcW w:w="1220" w:type="pct"/>
            <w:gridSpan w:val="2"/>
            <w:shd w:val="clear" w:color="000000" w:fill="A9D08E"/>
            <w:noWrap/>
            <w:vAlign w:val="center"/>
            <w:hideMark/>
          </w:tcPr>
          <w:p w:rsidR="00C819CB" w:rsidRPr="00E05DE4" w:rsidRDefault="00C819CB" w:rsidP="00484742">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Domestic Legislation</w:t>
            </w:r>
          </w:p>
        </w:tc>
        <w:tc>
          <w:tcPr>
            <w:tcW w:w="628" w:type="pct"/>
            <w:gridSpan w:val="2"/>
            <w:shd w:val="clear" w:color="000000" w:fill="A9D08E"/>
            <w:noWrap/>
            <w:vAlign w:val="center"/>
            <w:hideMark/>
          </w:tcPr>
          <w:p w:rsidR="00C819CB" w:rsidRPr="00E05DE4" w:rsidRDefault="00C819CB" w:rsidP="00484742">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Institution(s) In Charge</w:t>
            </w:r>
          </w:p>
        </w:tc>
        <w:tc>
          <w:tcPr>
            <w:tcW w:w="439" w:type="pct"/>
            <w:vMerge w:val="restart"/>
            <w:shd w:val="clear" w:color="000000" w:fill="A9D08E"/>
            <w:vAlign w:val="center"/>
            <w:hideMark/>
          </w:tcPr>
          <w:p w:rsidR="00C819CB" w:rsidRPr="00E05DE4" w:rsidRDefault="00C819CB" w:rsidP="00484742">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Comments </w:t>
            </w:r>
          </w:p>
        </w:tc>
        <w:tc>
          <w:tcPr>
            <w:tcW w:w="592" w:type="pct"/>
            <w:vMerge w:val="restart"/>
            <w:shd w:val="clear" w:color="000000" w:fill="A9D08E"/>
            <w:vAlign w:val="center"/>
          </w:tcPr>
          <w:p w:rsidR="00C819CB" w:rsidRPr="00E05DE4" w:rsidRDefault="00C819CB" w:rsidP="005C6CD9">
            <w:pPr>
              <w:spacing w:after="0" w:line="240" w:lineRule="auto"/>
              <w:jc w:val="center"/>
              <w:rPr>
                <w:rFonts w:ascii="Calibri" w:eastAsia="Times New Roman" w:hAnsi="Calibri" w:cs="Calibri"/>
                <w:b/>
                <w:bCs/>
                <w:sz w:val="28"/>
                <w:szCs w:val="28"/>
                <w:lang w:val="en-GB"/>
              </w:rPr>
            </w:pPr>
            <w:r w:rsidRPr="00E05DE4">
              <w:rPr>
                <w:rFonts w:ascii="Calibri" w:eastAsia="Times New Roman" w:hAnsi="Calibri" w:cs="Calibri"/>
                <w:b/>
                <w:bCs/>
                <w:sz w:val="16"/>
                <w:szCs w:val="16"/>
                <w:lang w:val="en-GB"/>
              </w:rPr>
              <w:t>Reference</w:t>
            </w:r>
          </w:p>
        </w:tc>
      </w:tr>
      <w:tr w:rsidR="00484742" w:rsidRPr="00E05DE4" w:rsidTr="00EC2B9D">
        <w:trPr>
          <w:trHeight w:val="810"/>
        </w:trPr>
        <w:tc>
          <w:tcPr>
            <w:tcW w:w="512" w:type="pct"/>
            <w:shd w:val="clear" w:color="000000" w:fill="FFF2CC"/>
            <w:vAlign w:val="center"/>
            <w:hideMark/>
          </w:tcPr>
          <w:p w:rsidR="00484742" w:rsidRPr="00E05DE4" w:rsidRDefault="00484742" w:rsidP="00484742">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as per</w:t>
            </w:r>
            <w:r w:rsidRPr="00E05DE4">
              <w:rPr>
                <w:rFonts w:eastAsia="Times New Roman" w:cstheme="minorHAnsi"/>
                <w:b/>
                <w:bCs/>
                <w:color w:val="3A3838"/>
                <w:sz w:val="16"/>
                <w:szCs w:val="16"/>
                <w:lang w:val="en-GB"/>
              </w:rPr>
              <w:t xml:space="preserve"> AA</w:t>
            </w:r>
          </w:p>
        </w:tc>
        <w:tc>
          <w:tcPr>
            <w:tcW w:w="306" w:type="pct"/>
            <w:shd w:val="clear" w:color="000000" w:fill="FFF2CC"/>
            <w:vAlign w:val="center"/>
            <w:hideMark/>
          </w:tcPr>
          <w:p w:rsidR="00484742" w:rsidRPr="00E05DE4" w:rsidRDefault="00484742" w:rsidP="00484742">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 xml:space="preserve">as per </w:t>
            </w:r>
            <w:r w:rsidRPr="00E05DE4">
              <w:rPr>
                <w:rFonts w:eastAsia="Times New Roman" w:cstheme="minorHAnsi"/>
                <w:b/>
                <w:bCs/>
                <w:color w:val="3A3838"/>
                <w:sz w:val="16"/>
                <w:szCs w:val="16"/>
                <w:lang w:val="en-GB"/>
              </w:rPr>
              <w:t>changes since AA</w:t>
            </w:r>
          </w:p>
        </w:tc>
        <w:tc>
          <w:tcPr>
            <w:tcW w:w="373" w:type="pct"/>
            <w:vMerge/>
            <w:vAlign w:val="center"/>
            <w:hideMark/>
          </w:tcPr>
          <w:p w:rsidR="00484742" w:rsidRPr="00E05DE4" w:rsidRDefault="00484742" w:rsidP="00484742">
            <w:pPr>
              <w:spacing w:after="0" w:line="240" w:lineRule="auto"/>
              <w:rPr>
                <w:rFonts w:eastAsia="Times New Roman" w:cstheme="minorHAnsi"/>
                <w:b/>
                <w:bCs/>
                <w:sz w:val="16"/>
                <w:szCs w:val="16"/>
                <w:lang w:val="en-GB"/>
              </w:rPr>
            </w:pPr>
          </w:p>
        </w:tc>
        <w:tc>
          <w:tcPr>
            <w:tcW w:w="282" w:type="pct"/>
            <w:vMerge/>
            <w:vAlign w:val="center"/>
            <w:hideMark/>
          </w:tcPr>
          <w:p w:rsidR="00484742" w:rsidRPr="00E05DE4" w:rsidRDefault="00484742" w:rsidP="00484742">
            <w:pPr>
              <w:spacing w:after="0" w:line="240" w:lineRule="auto"/>
              <w:rPr>
                <w:rFonts w:eastAsia="Times New Roman" w:cstheme="minorHAnsi"/>
                <w:b/>
                <w:bCs/>
                <w:sz w:val="16"/>
                <w:szCs w:val="16"/>
                <w:lang w:val="en-GB"/>
              </w:rPr>
            </w:pPr>
          </w:p>
        </w:tc>
        <w:tc>
          <w:tcPr>
            <w:tcW w:w="343" w:type="pct"/>
            <w:shd w:val="clear" w:color="000000" w:fill="E2EFDA"/>
            <w:vAlign w:val="center"/>
            <w:hideMark/>
          </w:tcPr>
          <w:p w:rsidR="00484742" w:rsidRPr="00E05DE4" w:rsidRDefault="00484742" w:rsidP="00484742">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Adoption</w:t>
            </w:r>
          </w:p>
        </w:tc>
        <w:tc>
          <w:tcPr>
            <w:tcW w:w="305" w:type="pct"/>
            <w:shd w:val="clear" w:color="000000" w:fill="E2EFDA"/>
            <w:vAlign w:val="center"/>
            <w:hideMark/>
          </w:tcPr>
          <w:p w:rsidR="00484742" w:rsidRPr="00E05DE4" w:rsidRDefault="00484742" w:rsidP="00484742">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Entry into force</w:t>
            </w:r>
          </w:p>
        </w:tc>
        <w:tc>
          <w:tcPr>
            <w:tcW w:w="568" w:type="pct"/>
            <w:shd w:val="clear" w:color="000000" w:fill="E2EFDA"/>
            <w:vAlign w:val="center"/>
            <w:hideMark/>
          </w:tcPr>
          <w:p w:rsidR="00484742" w:rsidRPr="00E05DE4" w:rsidRDefault="00484742" w:rsidP="00484742">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New</w:t>
            </w:r>
          </w:p>
        </w:tc>
        <w:tc>
          <w:tcPr>
            <w:tcW w:w="652" w:type="pct"/>
            <w:shd w:val="clear" w:color="000000" w:fill="E2EFDA"/>
            <w:vAlign w:val="center"/>
            <w:hideMark/>
          </w:tcPr>
          <w:p w:rsidR="00484742" w:rsidRPr="00E05DE4" w:rsidRDefault="00484742" w:rsidP="00484742">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Amendments</w:t>
            </w:r>
          </w:p>
        </w:tc>
        <w:tc>
          <w:tcPr>
            <w:tcW w:w="266" w:type="pct"/>
            <w:shd w:val="clear" w:color="000000" w:fill="E2EFDA"/>
            <w:vAlign w:val="center"/>
            <w:hideMark/>
          </w:tcPr>
          <w:p w:rsidR="00484742" w:rsidRPr="00E05DE4" w:rsidRDefault="00484742" w:rsidP="00484742">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Leader</w:t>
            </w:r>
          </w:p>
        </w:tc>
        <w:tc>
          <w:tcPr>
            <w:tcW w:w="362" w:type="pct"/>
            <w:shd w:val="clear" w:color="000000" w:fill="E2EFDA"/>
            <w:vAlign w:val="center"/>
            <w:hideMark/>
          </w:tcPr>
          <w:p w:rsidR="00484742" w:rsidRPr="00E05DE4" w:rsidRDefault="00484742" w:rsidP="00484742">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Partner(s)</w:t>
            </w:r>
          </w:p>
        </w:tc>
        <w:tc>
          <w:tcPr>
            <w:tcW w:w="439" w:type="pct"/>
            <w:vMerge/>
            <w:vAlign w:val="center"/>
            <w:hideMark/>
          </w:tcPr>
          <w:p w:rsidR="00484742" w:rsidRPr="00E05DE4" w:rsidRDefault="00484742" w:rsidP="00484742">
            <w:pPr>
              <w:spacing w:after="0" w:line="240" w:lineRule="auto"/>
              <w:rPr>
                <w:rFonts w:eastAsia="Times New Roman" w:cstheme="minorHAnsi"/>
                <w:b/>
                <w:bCs/>
                <w:sz w:val="16"/>
                <w:szCs w:val="16"/>
                <w:lang w:val="en-GB"/>
              </w:rPr>
            </w:pPr>
          </w:p>
        </w:tc>
        <w:tc>
          <w:tcPr>
            <w:tcW w:w="592" w:type="pct"/>
            <w:vMerge/>
          </w:tcPr>
          <w:p w:rsidR="00484742" w:rsidRPr="00E05DE4" w:rsidRDefault="00484742" w:rsidP="00484742">
            <w:pPr>
              <w:spacing w:after="0" w:line="240" w:lineRule="auto"/>
              <w:rPr>
                <w:rFonts w:ascii="Calibri" w:eastAsia="Times New Roman" w:hAnsi="Calibri" w:cs="Calibri"/>
                <w:b/>
                <w:bCs/>
                <w:sz w:val="28"/>
                <w:szCs w:val="28"/>
                <w:lang w:val="en-GB"/>
              </w:rPr>
            </w:pPr>
          </w:p>
        </w:tc>
      </w:tr>
      <w:tr w:rsidR="00484742" w:rsidRPr="00E05DE4" w:rsidTr="00EC2B9D">
        <w:trPr>
          <w:trHeight w:val="2124"/>
        </w:trPr>
        <w:tc>
          <w:tcPr>
            <w:tcW w:w="512" w:type="pct"/>
            <w:shd w:val="clear" w:color="auto" w:fill="auto"/>
            <w:hideMark/>
          </w:tcPr>
          <w:p w:rsidR="00484742" w:rsidRPr="00E05DE4" w:rsidRDefault="00484742" w:rsidP="00C819CB">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Council Directive 92/6/EEC of 10 February 1992 on the installation and use of speed limitation devices for certain categories of motor vehicles in the Community</w:t>
            </w:r>
          </w:p>
        </w:tc>
        <w:tc>
          <w:tcPr>
            <w:tcW w:w="306" w:type="pct"/>
            <w:shd w:val="clear" w:color="auto" w:fill="auto"/>
            <w:vAlign w:val="center"/>
            <w:hideMark/>
          </w:tcPr>
          <w:p w:rsidR="00484742" w:rsidRPr="00E05DE4" w:rsidRDefault="00484742" w:rsidP="00484742">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373" w:type="pct"/>
            <w:shd w:val="clear" w:color="000000" w:fill="FFFFFF"/>
            <w:vAlign w:val="center"/>
            <w:hideMark/>
          </w:tcPr>
          <w:p w:rsidR="00484742" w:rsidRPr="00E05DE4" w:rsidRDefault="00484742" w:rsidP="00C819CB">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2016*; 2020**; 2016***</w:t>
            </w:r>
          </w:p>
        </w:tc>
        <w:tc>
          <w:tcPr>
            <w:tcW w:w="282" w:type="pct"/>
            <w:shd w:val="clear" w:color="000000" w:fill="FFFFFF"/>
            <w:vAlign w:val="center"/>
            <w:hideMark/>
          </w:tcPr>
          <w:p w:rsidR="00484742" w:rsidRPr="00E05DE4" w:rsidRDefault="00484742" w:rsidP="00C819CB">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NO</w:t>
            </w:r>
          </w:p>
        </w:tc>
        <w:tc>
          <w:tcPr>
            <w:tcW w:w="343" w:type="pct"/>
            <w:shd w:val="clear" w:color="000000" w:fill="FFFFFF"/>
            <w:noWrap/>
            <w:vAlign w:val="bottom"/>
            <w:hideMark/>
          </w:tcPr>
          <w:p w:rsidR="00484742" w:rsidRPr="00E05DE4" w:rsidRDefault="00484742" w:rsidP="00484742">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305" w:type="pct"/>
            <w:shd w:val="clear" w:color="000000" w:fill="FFFFFF"/>
            <w:vAlign w:val="center"/>
            <w:hideMark/>
          </w:tcPr>
          <w:p w:rsidR="00484742" w:rsidRPr="00E05DE4" w:rsidRDefault="00484742" w:rsidP="00484742">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568" w:type="pct"/>
            <w:shd w:val="clear" w:color="000000" w:fill="FFFFFF"/>
            <w:noWrap/>
            <w:vAlign w:val="bottom"/>
            <w:hideMark/>
          </w:tcPr>
          <w:p w:rsidR="00484742" w:rsidRPr="00E05DE4" w:rsidRDefault="00484742" w:rsidP="00484742">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52" w:type="pct"/>
            <w:shd w:val="clear" w:color="000000" w:fill="FFFFFF"/>
            <w:vAlign w:val="center"/>
            <w:hideMark/>
          </w:tcPr>
          <w:p w:rsidR="00484742" w:rsidRPr="00E05DE4" w:rsidRDefault="00484742" w:rsidP="00484742">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266" w:type="pct"/>
            <w:shd w:val="clear" w:color="000000" w:fill="FFFFFF"/>
            <w:vAlign w:val="center"/>
            <w:hideMark/>
          </w:tcPr>
          <w:p w:rsidR="00484742" w:rsidRPr="00E05DE4" w:rsidRDefault="00484742" w:rsidP="00484742">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362" w:type="pct"/>
            <w:shd w:val="clear" w:color="000000" w:fill="FFFFFF"/>
            <w:vAlign w:val="center"/>
            <w:hideMark/>
          </w:tcPr>
          <w:p w:rsidR="00484742" w:rsidRPr="00E05DE4" w:rsidRDefault="00484742" w:rsidP="00484742">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439" w:type="pct"/>
            <w:shd w:val="clear" w:color="auto" w:fill="auto"/>
            <w:vAlign w:val="center"/>
            <w:hideMark/>
          </w:tcPr>
          <w:p w:rsidR="00484742" w:rsidRPr="00E05DE4" w:rsidRDefault="00484742" w:rsidP="00C819CB">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*For all vehicles engaged in international transport;  **For all vehicles engaged in national transport already registered at the moment of entry into force of this Agreement; ***For all vehicles which are registered for the first time.</w:t>
            </w:r>
          </w:p>
        </w:tc>
        <w:tc>
          <w:tcPr>
            <w:tcW w:w="592" w:type="pct"/>
          </w:tcPr>
          <w:p w:rsidR="00484742" w:rsidRPr="00E05DE4" w:rsidRDefault="00484742" w:rsidP="00C819CB">
            <w:pPr>
              <w:spacing w:after="0" w:line="240" w:lineRule="auto"/>
              <w:jc w:val="both"/>
              <w:rPr>
                <w:rFonts w:ascii="Arial Narrow" w:eastAsia="Times New Roman" w:hAnsi="Arial Narrow" w:cs="Calibri"/>
                <w:sz w:val="24"/>
                <w:szCs w:val="24"/>
                <w:lang w:val="en-GB"/>
              </w:rPr>
            </w:pPr>
          </w:p>
        </w:tc>
      </w:tr>
    </w:tbl>
    <w:p w:rsidR="00484742" w:rsidRDefault="00484742">
      <w:pPr>
        <w:rPr>
          <w:lang w:val="en-GB"/>
        </w:rPr>
      </w:pPr>
    </w:p>
    <w:p w:rsidR="00810D1A" w:rsidRPr="00E05DE4" w:rsidRDefault="00810D1A">
      <w:pPr>
        <w:rPr>
          <w:lang w:val="en-GB"/>
        </w:rPr>
      </w:pPr>
    </w:p>
    <w:tbl>
      <w:tblPr>
        <w:tblW w:w="5413"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795"/>
        <w:gridCol w:w="1293"/>
        <w:gridCol w:w="633"/>
        <w:gridCol w:w="1421"/>
        <w:gridCol w:w="738"/>
        <w:gridCol w:w="542"/>
        <w:gridCol w:w="1754"/>
        <w:gridCol w:w="1165"/>
        <w:gridCol w:w="1430"/>
        <w:gridCol w:w="1418"/>
        <w:gridCol w:w="1598"/>
      </w:tblGrid>
      <w:tr w:rsidR="00810D1A" w:rsidRPr="00E05DE4" w:rsidTr="00EC2B9D">
        <w:trPr>
          <w:trHeight w:val="700"/>
        </w:trPr>
        <w:tc>
          <w:tcPr>
            <w:tcW w:w="5000" w:type="pct"/>
            <w:gridSpan w:val="12"/>
            <w:shd w:val="clear" w:color="auto" w:fill="9CC2E5" w:themeFill="accent1" w:themeFillTint="99"/>
            <w:noWrap/>
            <w:vAlign w:val="center"/>
          </w:tcPr>
          <w:p w:rsidR="00810D1A" w:rsidRPr="00E05DE4" w:rsidRDefault="00C819CB" w:rsidP="00810D1A">
            <w:pPr>
              <w:spacing w:after="0" w:line="240" w:lineRule="auto"/>
              <w:jc w:val="center"/>
              <w:rPr>
                <w:rFonts w:eastAsia="Times New Roman" w:cstheme="minorHAnsi"/>
                <w:b/>
                <w:bCs/>
                <w:color w:val="000000"/>
                <w:sz w:val="20"/>
                <w:szCs w:val="20"/>
                <w:lang w:val="en-GB"/>
              </w:rPr>
            </w:pPr>
            <w:r w:rsidRPr="00E05DE4">
              <w:rPr>
                <w:rFonts w:eastAsia="Times New Roman" w:cstheme="minorHAnsi"/>
                <w:b/>
                <w:bCs/>
                <w:color w:val="000000"/>
                <w:sz w:val="20"/>
                <w:szCs w:val="20"/>
                <w:lang w:val="en-GB"/>
              </w:rPr>
              <w:lastRenderedPageBreak/>
              <w:t>EMPLOYMENT, SOCIAL POLICY AND EQUALITY</w:t>
            </w:r>
          </w:p>
        </w:tc>
      </w:tr>
      <w:tr w:rsidR="00C819CB" w:rsidRPr="00E05DE4" w:rsidTr="00EC2B9D">
        <w:trPr>
          <w:trHeight w:val="495"/>
        </w:trPr>
        <w:tc>
          <w:tcPr>
            <w:tcW w:w="1151" w:type="pct"/>
            <w:gridSpan w:val="2"/>
            <w:shd w:val="clear" w:color="000000" w:fill="FFE699"/>
            <w:vAlign w:val="center"/>
            <w:hideMark/>
          </w:tcPr>
          <w:p w:rsidR="00C819CB" w:rsidRPr="00E05DE4" w:rsidRDefault="00C819CB" w:rsidP="00810D1A">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EU Law</w:t>
            </w:r>
          </w:p>
        </w:tc>
        <w:tc>
          <w:tcPr>
            <w:tcW w:w="415" w:type="pct"/>
            <w:vMerge w:val="restart"/>
            <w:shd w:val="clear" w:color="000000" w:fill="FFD966"/>
            <w:vAlign w:val="center"/>
            <w:hideMark/>
          </w:tcPr>
          <w:p w:rsidR="00C819CB" w:rsidRPr="00E05DE4" w:rsidRDefault="00C819CB" w:rsidP="00810D1A">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AA </w:t>
            </w:r>
            <w:r w:rsidRPr="00E05DE4">
              <w:rPr>
                <w:rFonts w:eastAsia="Times New Roman" w:cstheme="minorHAnsi"/>
                <w:b/>
                <w:bCs/>
                <w:sz w:val="16"/>
                <w:szCs w:val="16"/>
                <w:lang w:val="en-GB"/>
              </w:rPr>
              <w:br/>
              <w:t>Deadline</w:t>
            </w:r>
          </w:p>
        </w:tc>
        <w:tc>
          <w:tcPr>
            <w:tcW w:w="203" w:type="pct"/>
            <w:vMerge w:val="restart"/>
            <w:shd w:val="clear" w:color="000000" w:fill="70AD47"/>
            <w:vAlign w:val="center"/>
            <w:hideMark/>
          </w:tcPr>
          <w:p w:rsidR="00C819CB" w:rsidRPr="00E05DE4" w:rsidRDefault="00C819CB" w:rsidP="00810D1A">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LA </w:t>
            </w:r>
            <w:r w:rsidRPr="00E05DE4">
              <w:rPr>
                <w:rFonts w:eastAsia="Times New Roman" w:cstheme="minorHAnsi"/>
                <w:b/>
                <w:bCs/>
                <w:sz w:val="16"/>
                <w:szCs w:val="16"/>
                <w:lang w:val="en-GB"/>
              </w:rPr>
              <w:br/>
              <w:t>Status</w:t>
            </w:r>
          </w:p>
        </w:tc>
        <w:tc>
          <w:tcPr>
            <w:tcW w:w="693" w:type="pct"/>
            <w:gridSpan w:val="2"/>
            <w:shd w:val="clear" w:color="000000" w:fill="A9D08E"/>
            <w:noWrap/>
            <w:vAlign w:val="center"/>
            <w:hideMark/>
          </w:tcPr>
          <w:p w:rsidR="00C819CB" w:rsidRPr="00E05DE4" w:rsidRDefault="00C819CB" w:rsidP="00C819CB">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Year</w:t>
            </w:r>
          </w:p>
        </w:tc>
        <w:tc>
          <w:tcPr>
            <w:tcW w:w="737" w:type="pct"/>
            <w:gridSpan w:val="2"/>
            <w:shd w:val="clear" w:color="000000" w:fill="A9D08E"/>
            <w:noWrap/>
            <w:vAlign w:val="center"/>
            <w:hideMark/>
          </w:tcPr>
          <w:p w:rsidR="00C819CB" w:rsidRPr="00E05DE4" w:rsidRDefault="00C819CB" w:rsidP="00810D1A">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Domestic Legislation</w:t>
            </w:r>
          </w:p>
        </w:tc>
        <w:tc>
          <w:tcPr>
            <w:tcW w:w="833" w:type="pct"/>
            <w:gridSpan w:val="2"/>
            <w:shd w:val="clear" w:color="000000" w:fill="A9D08E"/>
            <w:noWrap/>
            <w:vAlign w:val="center"/>
            <w:hideMark/>
          </w:tcPr>
          <w:p w:rsidR="00C819CB" w:rsidRPr="00E05DE4" w:rsidRDefault="00C819CB" w:rsidP="00810D1A">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Institution(s) In Charge</w:t>
            </w:r>
          </w:p>
        </w:tc>
        <w:tc>
          <w:tcPr>
            <w:tcW w:w="455" w:type="pct"/>
            <w:vMerge w:val="restart"/>
            <w:shd w:val="clear" w:color="000000" w:fill="A9D08E"/>
            <w:vAlign w:val="center"/>
            <w:hideMark/>
          </w:tcPr>
          <w:p w:rsidR="00C819CB" w:rsidRPr="00E05DE4" w:rsidRDefault="00C819CB" w:rsidP="00810D1A">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COMMENTS </w:t>
            </w:r>
          </w:p>
        </w:tc>
        <w:tc>
          <w:tcPr>
            <w:tcW w:w="513" w:type="pct"/>
            <w:vMerge w:val="restart"/>
            <w:shd w:val="clear" w:color="000000" w:fill="A9D08E"/>
            <w:vAlign w:val="center"/>
          </w:tcPr>
          <w:p w:rsidR="00C819CB" w:rsidRPr="00E05DE4" w:rsidRDefault="00C819CB" w:rsidP="005C6CD9">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REFERENCE</w:t>
            </w:r>
          </w:p>
        </w:tc>
      </w:tr>
      <w:tr w:rsidR="00C819CB" w:rsidRPr="00E05DE4" w:rsidTr="00EC2B9D">
        <w:trPr>
          <w:trHeight w:val="624"/>
        </w:trPr>
        <w:tc>
          <w:tcPr>
            <w:tcW w:w="575" w:type="pct"/>
            <w:shd w:val="clear" w:color="000000" w:fill="FFF2CC"/>
            <w:vAlign w:val="center"/>
            <w:hideMark/>
          </w:tcPr>
          <w:p w:rsidR="00810D1A" w:rsidRPr="00E05DE4" w:rsidRDefault="00810D1A" w:rsidP="00810D1A">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as per</w:t>
            </w:r>
            <w:r w:rsidRPr="00E05DE4">
              <w:rPr>
                <w:rFonts w:eastAsia="Times New Roman" w:cstheme="minorHAnsi"/>
                <w:b/>
                <w:bCs/>
                <w:color w:val="3A3838"/>
                <w:sz w:val="16"/>
                <w:szCs w:val="16"/>
                <w:lang w:val="en-GB"/>
              </w:rPr>
              <w:t xml:space="preserve"> AA</w:t>
            </w:r>
          </w:p>
        </w:tc>
        <w:tc>
          <w:tcPr>
            <w:tcW w:w="576" w:type="pct"/>
            <w:shd w:val="clear" w:color="000000" w:fill="FFF2CC"/>
            <w:vAlign w:val="center"/>
            <w:hideMark/>
          </w:tcPr>
          <w:p w:rsidR="00810D1A" w:rsidRPr="00E05DE4" w:rsidRDefault="00810D1A" w:rsidP="00810D1A">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 xml:space="preserve">as per </w:t>
            </w:r>
            <w:r w:rsidRPr="00E05DE4">
              <w:rPr>
                <w:rFonts w:eastAsia="Times New Roman" w:cstheme="minorHAnsi"/>
                <w:b/>
                <w:bCs/>
                <w:color w:val="3A3838"/>
                <w:sz w:val="16"/>
                <w:szCs w:val="16"/>
                <w:lang w:val="en-GB"/>
              </w:rPr>
              <w:t>changes since AA</w:t>
            </w:r>
          </w:p>
        </w:tc>
        <w:tc>
          <w:tcPr>
            <w:tcW w:w="415" w:type="pct"/>
            <w:vMerge/>
            <w:vAlign w:val="center"/>
            <w:hideMark/>
          </w:tcPr>
          <w:p w:rsidR="00810D1A" w:rsidRPr="00E05DE4" w:rsidRDefault="00810D1A" w:rsidP="00810D1A">
            <w:pPr>
              <w:spacing w:after="0" w:line="240" w:lineRule="auto"/>
              <w:rPr>
                <w:rFonts w:eastAsia="Times New Roman" w:cstheme="minorHAnsi"/>
                <w:b/>
                <w:bCs/>
                <w:sz w:val="16"/>
                <w:szCs w:val="16"/>
                <w:lang w:val="en-GB"/>
              </w:rPr>
            </w:pPr>
          </w:p>
        </w:tc>
        <w:tc>
          <w:tcPr>
            <w:tcW w:w="203" w:type="pct"/>
            <w:vMerge/>
            <w:vAlign w:val="center"/>
            <w:hideMark/>
          </w:tcPr>
          <w:p w:rsidR="00810D1A" w:rsidRPr="00E05DE4" w:rsidRDefault="00810D1A" w:rsidP="00810D1A">
            <w:pPr>
              <w:spacing w:after="0" w:line="240" w:lineRule="auto"/>
              <w:rPr>
                <w:rFonts w:eastAsia="Times New Roman" w:cstheme="minorHAnsi"/>
                <w:b/>
                <w:bCs/>
                <w:sz w:val="16"/>
                <w:szCs w:val="16"/>
                <w:lang w:val="en-GB"/>
              </w:rPr>
            </w:pPr>
          </w:p>
        </w:tc>
        <w:tc>
          <w:tcPr>
            <w:tcW w:w="456" w:type="pct"/>
            <w:shd w:val="clear" w:color="000000" w:fill="E2EFDA"/>
            <w:vAlign w:val="center"/>
            <w:hideMark/>
          </w:tcPr>
          <w:p w:rsidR="00810D1A" w:rsidRPr="00E05DE4" w:rsidRDefault="00810D1A" w:rsidP="00810D1A">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Adoption</w:t>
            </w:r>
          </w:p>
        </w:tc>
        <w:tc>
          <w:tcPr>
            <w:tcW w:w="237" w:type="pct"/>
            <w:shd w:val="clear" w:color="000000" w:fill="E2EFDA"/>
            <w:vAlign w:val="center"/>
            <w:hideMark/>
          </w:tcPr>
          <w:p w:rsidR="00810D1A" w:rsidRPr="00E05DE4" w:rsidRDefault="00810D1A" w:rsidP="00810D1A">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Entry into force</w:t>
            </w:r>
          </w:p>
        </w:tc>
        <w:tc>
          <w:tcPr>
            <w:tcW w:w="174" w:type="pct"/>
            <w:shd w:val="clear" w:color="000000" w:fill="E2EFDA"/>
            <w:vAlign w:val="center"/>
            <w:hideMark/>
          </w:tcPr>
          <w:p w:rsidR="00810D1A" w:rsidRPr="00E05DE4" w:rsidRDefault="00810D1A" w:rsidP="00810D1A">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New</w:t>
            </w:r>
          </w:p>
        </w:tc>
        <w:tc>
          <w:tcPr>
            <w:tcW w:w="563" w:type="pct"/>
            <w:shd w:val="clear" w:color="000000" w:fill="E2EFDA"/>
            <w:vAlign w:val="center"/>
            <w:hideMark/>
          </w:tcPr>
          <w:p w:rsidR="00810D1A" w:rsidRPr="00E05DE4" w:rsidRDefault="00810D1A" w:rsidP="00810D1A">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Amendments</w:t>
            </w:r>
          </w:p>
        </w:tc>
        <w:tc>
          <w:tcPr>
            <w:tcW w:w="374" w:type="pct"/>
            <w:shd w:val="clear" w:color="000000" w:fill="E2EFDA"/>
            <w:vAlign w:val="center"/>
            <w:hideMark/>
          </w:tcPr>
          <w:p w:rsidR="00810D1A" w:rsidRPr="00E05DE4" w:rsidRDefault="00810D1A" w:rsidP="00810D1A">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 xml:space="preserve">Leader </w:t>
            </w:r>
            <w:r w:rsidRPr="00E05DE4">
              <w:rPr>
                <w:rFonts w:eastAsia="Times New Roman" w:cstheme="minorHAnsi"/>
                <w:b/>
                <w:bCs/>
                <w:color w:val="3A3838"/>
                <w:sz w:val="16"/>
                <w:szCs w:val="16"/>
                <w:lang w:val="en-GB"/>
              </w:rPr>
              <w:br/>
            </w:r>
            <w:r w:rsidRPr="00E05DE4">
              <w:rPr>
                <w:rFonts w:eastAsia="Times New Roman" w:cstheme="minorHAnsi"/>
                <w:i/>
                <w:iCs/>
                <w:color w:val="3A3838"/>
                <w:sz w:val="16"/>
                <w:szCs w:val="16"/>
                <w:lang w:val="en-GB"/>
              </w:rPr>
              <w:t>(incl. contact point)</w:t>
            </w:r>
          </w:p>
        </w:tc>
        <w:tc>
          <w:tcPr>
            <w:tcW w:w="459" w:type="pct"/>
            <w:shd w:val="clear" w:color="000000" w:fill="E2EFDA"/>
            <w:vAlign w:val="center"/>
            <w:hideMark/>
          </w:tcPr>
          <w:p w:rsidR="00810D1A" w:rsidRPr="00E05DE4" w:rsidRDefault="00810D1A" w:rsidP="00810D1A">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Partner(s)</w:t>
            </w:r>
          </w:p>
        </w:tc>
        <w:tc>
          <w:tcPr>
            <w:tcW w:w="455" w:type="pct"/>
            <w:vMerge/>
            <w:vAlign w:val="center"/>
            <w:hideMark/>
          </w:tcPr>
          <w:p w:rsidR="00810D1A" w:rsidRPr="00E05DE4" w:rsidRDefault="00810D1A" w:rsidP="00810D1A">
            <w:pPr>
              <w:spacing w:after="0" w:line="240" w:lineRule="auto"/>
              <w:rPr>
                <w:rFonts w:eastAsia="Times New Roman" w:cstheme="minorHAnsi"/>
                <w:b/>
                <w:bCs/>
                <w:sz w:val="16"/>
                <w:szCs w:val="16"/>
                <w:lang w:val="en-GB"/>
              </w:rPr>
            </w:pPr>
          </w:p>
        </w:tc>
        <w:tc>
          <w:tcPr>
            <w:tcW w:w="513" w:type="pct"/>
            <w:vMerge/>
          </w:tcPr>
          <w:p w:rsidR="00810D1A" w:rsidRPr="00E05DE4" w:rsidRDefault="00810D1A" w:rsidP="00810D1A">
            <w:pPr>
              <w:spacing w:after="0" w:line="240" w:lineRule="auto"/>
              <w:rPr>
                <w:rFonts w:eastAsia="Times New Roman" w:cstheme="minorHAnsi"/>
                <w:b/>
                <w:bCs/>
                <w:sz w:val="16"/>
                <w:szCs w:val="16"/>
                <w:lang w:val="en-GB"/>
              </w:rPr>
            </w:pPr>
          </w:p>
        </w:tc>
      </w:tr>
      <w:tr w:rsidR="00C819CB" w:rsidRPr="00E05DE4" w:rsidTr="00EC2B9D">
        <w:trPr>
          <w:trHeight w:val="4980"/>
        </w:trPr>
        <w:tc>
          <w:tcPr>
            <w:tcW w:w="575" w:type="pct"/>
            <w:shd w:val="clear" w:color="auto" w:fill="auto"/>
            <w:hideMark/>
          </w:tcPr>
          <w:p w:rsidR="00810D1A" w:rsidRPr="00E05DE4" w:rsidRDefault="00810D1A" w:rsidP="00A74E98">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Council Directive 98/24/EC of 7 April 1998 on the protection of the health and safety of workers from the risks related to chemical agents at work (fourteenth individual Directive within the meaning of Article 16(1) of Directive 89/391/EEC)</w:t>
            </w:r>
          </w:p>
        </w:tc>
        <w:tc>
          <w:tcPr>
            <w:tcW w:w="576" w:type="pct"/>
            <w:shd w:val="clear" w:color="auto" w:fill="auto"/>
            <w:vAlign w:val="center"/>
            <w:hideMark/>
          </w:tcPr>
          <w:p w:rsidR="00810D1A" w:rsidRPr="00E05DE4" w:rsidRDefault="00810D1A" w:rsidP="00810D1A">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415" w:type="pct"/>
            <w:shd w:val="clear" w:color="auto" w:fill="auto"/>
            <w:vAlign w:val="center"/>
            <w:hideMark/>
          </w:tcPr>
          <w:p w:rsidR="00810D1A" w:rsidRPr="00E05DE4" w:rsidRDefault="00810D1A" w:rsidP="00810D1A">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2023</w:t>
            </w:r>
          </w:p>
        </w:tc>
        <w:tc>
          <w:tcPr>
            <w:tcW w:w="203" w:type="pct"/>
            <w:shd w:val="clear" w:color="000000" w:fill="FFFFFF"/>
            <w:noWrap/>
            <w:vAlign w:val="center"/>
            <w:hideMark/>
          </w:tcPr>
          <w:p w:rsidR="00810D1A" w:rsidRPr="00E05DE4" w:rsidRDefault="00A74E98"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NO</w:t>
            </w:r>
          </w:p>
        </w:tc>
        <w:tc>
          <w:tcPr>
            <w:tcW w:w="456" w:type="pct"/>
            <w:shd w:val="clear" w:color="000000" w:fill="FFFFFF"/>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237"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174"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563"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374"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NA</w:t>
            </w:r>
          </w:p>
        </w:tc>
        <w:tc>
          <w:tcPr>
            <w:tcW w:w="459"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455" w:type="pct"/>
            <w:shd w:val="clear" w:color="auto" w:fill="auto"/>
            <w:hideMark/>
          </w:tcPr>
          <w:p w:rsidR="00810D1A" w:rsidRPr="00E05DE4" w:rsidRDefault="00810D1A" w:rsidP="00A74E98">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For workplaces already in use at the moment of entry into force of this Agreement, that Directive's provisions shall be implemented within nine years of the entry into force of this Agreement, including minimum safety and health requirements laid down in the Annex to that Directive.</w:t>
            </w:r>
          </w:p>
        </w:tc>
        <w:tc>
          <w:tcPr>
            <w:tcW w:w="513" w:type="pct"/>
          </w:tcPr>
          <w:p w:rsidR="00810D1A" w:rsidRPr="00E05DE4" w:rsidRDefault="00810D1A" w:rsidP="00810D1A">
            <w:pPr>
              <w:spacing w:after="0" w:line="240" w:lineRule="auto"/>
              <w:jc w:val="center"/>
              <w:rPr>
                <w:rFonts w:eastAsia="Times New Roman" w:cstheme="minorHAnsi"/>
                <w:color w:val="000000"/>
                <w:sz w:val="16"/>
                <w:szCs w:val="16"/>
                <w:lang w:val="en-GB"/>
              </w:rPr>
            </w:pPr>
          </w:p>
        </w:tc>
      </w:tr>
      <w:tr w:rsidR="00C819CB" w:rsidRPr="00E05DE4" w:rsidTr="00EC2B9D">
        <w:trPr>
          <w:trHeight w:val="2484"/>
        </w:trPr>
        <w:tc>
          <w:tcPr>
            <w:tcW w:w="575" w:type="pct"/>
            <w:shd w:val="clear" w:color="auto" w:fill="auto"/>
            <w:hideMark/>
          </w:tcPr>
          <w:p w:rsidR="00810D1A" w:rsidRPr="00E05DE4" w:rsidRDefault="00810D1A" w:rsidP="00A74E98">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Commission Directive 91/322/EEC of 29 May 1991 on establishing indicative limit values by implementing Council Directive 80/1107/EEC on the protection of workers from the risks related to exposure to chemical, physical and biological agents at work</w:t>
            </w:r>
          </w:p>
        </w:tc>
        <w:tc>
          <w:tcPr>
            <w:tcW w:w="576" w:type="pct"/>
            <w:shd w:val="clear" w:color="auto" w:fill="auto"/>
            <w:vAlign w:val="center"/>
            <w:hideMark/>
          </w:tcPr>
          <w:p w:rsidR="00810D1A" w:rsidRPr="00E05DE4" w:rsidRDefault="00810D1A" w:rsidP="00810D1A">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 </w:t>
            </w:r>
          </w:p>
          <w:p w:rsidR="00810D1A" w:rsidRPr="00E05DE4" w:rsidRDefault="00810D1A" w:rsidP="00810D1A">
            <w:pPr>
              <w:spacing w:after="0" w:line="240" w:lineRule="auto"/>
              <w:jc w:val="center"/>
              <w:rPr>
                <w:rFonts w:eastAsia="Times New Roman" w:cstheme="minorHAnsi"/>
                <w:color w:val="000000"/>
                <w:sz w:val="16"/>
                <w:szCs w:val="16"/>
                <w:lang w:val="en-GB"/>
              </w:rPr>
            </w:pPr>
          </w:p>
        </w:tc>
        <w:tc>
          <w:tcPr>
            <w:tcW w:w="415"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2023</w:t>
            </w:r>
          </w:p>
        </w:tc>
        <w:tc>
          <w:tcPr>
            <w:tcW w:w="203" w:type="pct"/>
            <w:shd w:val="clear" w:color="000000" w:fill="FFFFFF"/>
            <w:vAlign w:val="center"/>
            <w:hideMark/>
          </w:tcPr>
          <w:p w:rsidR="00810D1A" w:rsidRPr="00E05DE4" w:rsidRDefault="00A74E98"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NO</w:t>
            </w:r>
            <w:r w:rsidR="00810D1A" w:rsidRPr="00E05DE4">
              <w:rPr>
                <w:rFonts w:eastAsia="Times New Roman" w:cstheme="minorHAnsi"/>
                <w:sz w:val="16"/>
                <w:szCs w:val="16"/>
                <w:lang w:val="en-GB"/>
              </w:rPr>
              <w:t> </w:t>
            </w:r>
          </w:p>
        </w:tc>
        <w:tc>
          <w:tcPr>
            <w:tcW w:w="456"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237"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174" w:type="pct"/>
            <w:shd w:val="clear" w:color="000000" w:fill="FFFFFF"/>
            <w:vAlign w:val="center"/>
          </w:tcPr>
          <w:p w:rsidR="00810D1A" w:rsidRPr="00E05DE4" w:rsidRDefault="00810D1A" w:rsidP="00810D1A">
            <w:pPr>
              <w:spacing w:after="0" w:line="240" w:lineRule="auto"/>
              <w:jc w:val="center"/>
              <w:rPr>
                <w:rFonts w:eastAsia="Times New Roman" w:cstheme="minorHAnsi"/>
                <w:sz w:val="16"/>
                <w:szCs w:val="16"/>
                <w:lang w:val="en-GB"/>
              </w:rPr>
            </w:pPr>
          </w:p>
        </w:tc>
        <w:tc>
          <w:tcPr>
            <w:tcW w:w="563"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374"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N/A</w:t>
            </w:r>
          </w:p>
        </w:tc>
        <w:tc>
          <w:tcPr>
            <w:tcW w:w="459"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455" w:type="pct"/>
            <w:shd w:val="clear" w:color="000000" w:fill="FFFFFF"/>
            <w:noWrap/>
            <w:vAlign w:val="center"/>
            <w:hideMark/>
          </w:tcPr>
          <w:p w:rsidR="00810D1A" w:rsidRPr="00E05DE4" w:rsidRDefault="00810D1A" w:rsidP="00810D1A">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 </w:t>
            </w:r>
          </w:p>
        </w:tc>
        <w:tc>
          <w:tcPr>
            <w:tcW w:w="513" w:type="pct"/>
            <w:shd w:val="clear" w:color="000000" w:fill="FFFFFF"/>
          </w:tcPr>
          <w:p w:rsidR="00810D1A" w:rsidRPr="00E05DE4" w:rsidRDefault="00810D1A" w:rsidP="00810D1A">
            <w:pPr>
              <w:spacing w:after="0" w:line="240" w:lineRule="auto"/>
              <w:jc w:val="center"/>
              <w:rPr>
                <w:rFonts w:eastAsia="Times New Roman" w:cstheme="minorHAnsi"/>
                <w:sz w:val="16"/>
                <w:szCs w:val="16"/>
                <w:lang w:val="en-GB"/>
              </w:rPr>
            </w:pPr>
          </w:p>
        </w:tc>
      </w:tr>
    </w:tbl>
    <w:p w:rsidR="004D4135" w:rsidRPr="00E05DE4" w:rsidRDefault="004D4135">
      <w:pPr>
        <w:rPr>
          <w:lang w:val="en-GB"/>
        </w:rPr>
      </w:pPr>
    </w:p>
    <w:tbl>
      <w:tblPr>
        <w:tblW w:w="154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358"/>
        <w:gridCol w:w="1025"/>
        <w:gridCol w:w="784"/>
        <w:gridCol w:w="1143"/>
        <w:gridCol w:w="742"/>
        <w:gridCol w:w="1707"/>
        <w:gridCol w:w="1633"/>
        <w:gridCol w:w="1043"/>
        <w:gridCol w:w="1255"/>
        <w:gridCol w:w="1504"/>
        <w:gridCol w:w="1512"/>
      </w:tblGrid>
      <w:tr w:rsidR="00A93026" w:rsidRPr="00E05DE4" w:rsidTr="00EC2B9D">
        <w:trPr>
          <w:trHeight w:val="701"/>
        </w:trPr>
        <w:tc>
          <w:tcPr>
            <w:tcW w:w="15480" w:type="dxa"/>
            <w:gridSpan w:val="12"/>
            <w:shd w:val="clear" w:color="auto" w:fill="9CC2E5" w:themeFill="accent1" w:themeFillTint="99"/>
            <w:vAlign w:val="center"/>
          </w:tcPr>
          <w:p w:rsidR="00A93026" w:rsidRPr="00E05DE4" w:rsidRDefault="00A93026" w:rsidP="00A93026">
            <w:pPr>
              <w:spacing w:after="0" w:line="240" w:lineRule="auto"/>
              <w:jc w:val="center"/>
              <w:rPr>
                <w:rFonts w:eastAsia="Times New Roman" w:cstheme="minorHAnsi"/>
                <w:b/>
                <w:bCs/>
                <w:sz w:val="20"/>
                <w:szCs w:val="20"/>
                <w:lang w:val="en-GB"/>
              </w:rPr>
            </w:pPr>
            <w:r w:rsidRPr="00E05DE4">
              <w:rPr>
                <w:rFonts w:eastAsia="Times New Roman" w:cstheme="minorHAnsi"/>
                <w:b/>
                <w:bCs/>
                <w:sz w:val="20"/>
                <w:szCs w:val="20"/>
                <w:lang w:val="en-GB"/>
              </w:rPr>
              <w:t>INTERNATIONAL MARITIME TRANSPORT</w:t>
            </w:r>
          </w:p>
        </w:tc>
      </w:tr>
      <w:tr w:rsidR="00EC2B9D" w:rsidRPr="00E05DE4" w:rsidTr="00EC2B9D">
        <w:trPr>
          <w:trHeight w:val="495"/>
        </w:trPr>
        <w:tc>
          <w:tcPr>
            <w:tcW w:w="3132" w:type="dxa"/>
            <w:gridSpan w:val="2"/>
            <w:shd w:val="clear" w:color="000000" w:fill="FFE699"/>
            <w:vAlign w:val="center"/>
            <w:hideMark/>
          </w:tcPr>
          <w:p w:rsidR="00EC2B9D" w:rsidRPr="00E05DE4" w:rsidRDefault="00EC2B9D" w:rsidP="00A9302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lastRenderedPageBreak/>
              <w:t>EU Law</w:t>
            </w:r>
          </w:p>
        </w:tc>
        <w:tc>
          <w:tcPr>
            <w:tcW w:w="1025" w:type="dxa"/>
            <w:vMerge w:val="restart"/>
            <w:shd w:val="clear" w:color="000000" w:fill="FFD966"/>
            <w:vAlign w:val="center"/>
            <w:hideMark/>
          </w:tcPr>
          <w:p w:rsidR="00EC2B9D" w:rsidRPr="00E05DE4" w:rsidRDefault="00EC2B9D" w:rsidP="00A9302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AA </w:t>
            </w:r>
            <w:r w:rsidRPr="00E05DE4">
              <w:rPr>
                <w:rFonts w:eastAsia="Times New Roman" w:cstheme="minorHAnsi"/>
                <w:b/>
                <w:bCs/>
                <w:sz w:val="16"/>
                <w:szCs w:val="16"/>
                <w:lang w:val="en-GB"/>
              </w:rPr>
              <w:br/>
              <w:t>Deadline</w:t>
            </w:r>
          </w:p>
        </w:tc>
        <w:tc>
          <w:tcPr>
            <w:tcW w:w="784" w:type="dxa"/>
            <w:vMerge w:val="restart"/>
            <w:shd w:val="clear" w:color="000000" w:fill="70AD47"/>
            <w:vAlign w:val="center"/>
            <w:hideMark/>
          </w:tcPr>
          <w:p w:rsidR="00EC2B9D" w:rsidRPr="00E05DE4" w:rsidRDefault="00EC2B9D" w:rsidP="00A9302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LA </w:t>
            </w:r>
            <w:r w:rsidRPr="00E05DE4">
              <w:rPr>
                <w:rFonts w:eastAsia="Times New Roman" w:cstheme="minorHAnsi"/>
                <w:b/>
                <w:bCs/>
                <w:sz w:val="16"/>
                <w:szCs w:val="16"/>
                <w:lang w:val="en-GB"/>
              </w:rPr>
              <w:br/>
              <w:t>Status</w:t>
            </w:r>
          </w:p>
        </w:tc>
        <w:tc>
          <w:tcPr>
            <w:tcW w:w="1885" w:type="dxa"/>
            <w:gridSpan w:val="2"/>
            <w:shd w:val="clear" w:color="000000" w:fill="A9D08E"/>
            <w:noWrap/>
            <w:vAlign w:val="center"/>
            <w:hideMark/>
          </w:tcPr>
          <w:p w:rsidR="00EC2B9D" w:rsidRPr="00EC2B9D" w:rsidRDefault="00EC2B9D" w:rsidP="00EC2B9D">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Year</w:t>
            </w:r>
          </w:p>
        </w:tc>
        <w:tc>
          <w:tcPr>
            <w:tcW w:w="3340" w:type="dxa"/>
            <w:gridSpan w:val="2"/>
            <w:shd w:val="clear" w:color="000000" w:fill="A9D08E"/>
            <w:noWrap/>
            <w:vAlign w:val="center"/>
            <w:hideMark/>
          </w:tcPr>
          <w:p w:rsidR="00EC2B9D" w:rsidRPr="00E05DE4" w:rsidRDefault="00EC2B9D" w:rsidP="00A9302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Domestic Legislation</w:t>
            </w:r>
          </w:p>
        </w:tc>
        <w:tc>
          <w:tcPr>
            <w:tcW w:w="2298" w:type="dxa"/>
            <w:gridSpan w:val="2"/>
            <w:shd w:val="clear" w:color="000000" w:fill="A9D08E"/>
            <w:noWrap/>
            <w:vAlign w:val="center"/>
            <w:hideMark/>
          </w:tcPr>
          <w:p w:rsidR="00EC2B9D" w:rsidRPr="00E05DE4" w:rsidRDefault="00EC2B9D" w:rsidP="00A9302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Institution(s) In Charge</w:t>
            </w:r>
          </w:p>
        </w:tc>
        <w:tc>
          <w:tcPr>
            <w:tcW w:w="1504" w:type="dxa"/>
            <w:vMerge w:val="restart"/>
            <w:shd w:val="clear" w:color="000000" w:fill="A9D08E"/>
            <w:vAlign w:val="center"/>
            <w:hideMark/>
          </w:tcPr>
          <w:p w:rsidR="00EC2B9D" w:rsidRPr="00E05DE4" w:rsidRDefault="00EC2B9D" w:rsidP="00A9302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COMMENTS</w:t>
            </w:r>
          </w:p>
        </w:tc>
        <w:tc>
          <w:tcPr>
            <w:tcW w:w="1512" w:type="dxa"/>
            <w:vMerge w:val="restart"/>
            <w:shd w:val="clear" w:color="000000" w:fill="A9D08E"/>
            <w:vAlign w:val="center"/>
          </w:tcPr>
          <w:p w:rsidR="00EC2B9D" w:rsidRPr="00E05DE4" w:rsidRDefault="00EC2B9D" w:rsidP="00A9302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REFERENCE</w:t>
            </w:r>
          </w:p>
        </w:tc>
      </w:tr>
      <w:tr w:rsidR="00A93026" w:rsidRPr="00E05DE4" w:rsidTr="00EC2B9D">
        <w:trPr>
          <w:trHeight w:val="810"/>
        </w:trPr>
        <w:tc>
          <w:tcPr>
            <w:tcW w:w="1774" w:type="dxa"/>
            <w:shd w:val="clear" w:color="000000" w:fill="FFF2CC"/>
            <w:vAlign w:val="center"/>
            <w:hideMark/>
          </w:tcPr>
          <w:p w:rsidR="00A93026" w:rsidRPr="00E05DE4" w:rsidRDefault="00A93026" w:rsidP="00A9302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as per</w:t>
            </w:r>
            <w:r w:rsidRPr="00E05DE4">
              <w:rPr>
                <w:rFonts w:eastAsia="Times New Roman" w:cstheme="minorHAnsi"/>
                <w:b/>
                <w:bCs/>
                <w:color w:val="3A3838"/>
                <w:sz w:val="16"/>
                <w:szCs w:val="16"/>
                <w:lang w:val="en-GB"/>
              </w:rPr>
              <w:t xml:space="preserve"> AA</w:t>
            </w:r>
          </w:p>
        </w:tc>
        <w:tc>
          <w:tcPr>
            <w:tcW w:w="1358" w:type="dxa"/>
            <w:shd w:val="clear" w:color="000000" w:fill="FFF2CC"/>
            <w:vAlign w:val="center"/>
            <w:hideMark/>
          </w:tcPr>
          <w:p w:rsidR="00A93026" w:rsidRPr="00E05DE4" w:rsidRDefault="00A93026" w:rsidP="00A9302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 xml:space="preserve">as per </w:t>
            </w:r>
            <w:r w:rsidRPr="00E05DE4">
              <w:rPr>
                <w:rFonts w:eastAsia="Times New Roman" w:cstheme="minorHAnsi"/>
                <w:b/>
                <w:bCs/>
                <w:color w:val="3A3838"/>
                <w:sz w:val="16"/>
                <w:szCs w:val="16"/>
                <w:lang w:val="en-GB"/>
              </w:rPr>
              <w:t>changes since AA</w:t>
            </w:r>
          </w:p>
        </w:tc>
        <w:tc>
          <w:tcPr>
            <w:tcW w:w="1025" w:type="dxa"/>
            <w:vMerge/>
            <w:vAlign w:val="center"/>
            <w:hideMark/>
          </w:tcPr>
          <w:p w:rsidR="00A93026" w:rsidRPr="00E05DE4" w:rsidRDefault="00A93026" w:rsidP="00A93026">
            <w:pPr>
              <w:spacing w:after="0" w:line="240" w:lineRule="auto"/>
              <w:rPr>
                <w:rFonts w:eastAsia="Times New Roman" w:cstheme="minorHAnsi"/>
                <w:b/>
                <w:bCs/>
                <w:sz w:val="16"/>
                <w:szCs w:val="16"/>
                <w:lang w:val="en-GB"/>
              </w:rPr>
            </w:pPr>
          </w:p>
        </w:tc>
        <w:tc>
          <w:tcPr>
            <w:tcW w:w="784" w:type="dxa"/>
            <w:vMerge/>
            <w:vAlign w:val="center"/>
            <w:hideMark/>
          </w:tcPr>
          <w:p w:rsidR="00A93026" w:rsidRPr="00E05DE4" w:rsidRDefault="00A93026" w:rsidP="00A93026">
            <w:pPr>
              <w:spacing w:after="0" w:line="240" w:lineRule="auto"/>
              <w:rPr>
                <w:rFonts w:eastAsia="Times New Roman" w:cstheme="minorHAnsi"/>
                <w:b/>
                <w:bCs/>
                <w:sz w:val="16"/>
                <w:szCs w:val="16"/>
                <w:lang w:val="en-GB"/>
              </w:rPr>
            </w:pPr>
          </w:p>
        </w:tc>
        <w:tc>
          <w:tcPr>
            <w:tcW w:w="1143" w:type="dxa"/>
            <w:shd w:val="clear" w:color="000000" w:fill="E2EFDA"/>
            <w:vAlign w:val="center"/>
            <w:hideMark/>
          </w:tcPr>
          <w:p w:rsidR="00A93026" w:rsidRPr="00E05DE4" w:rsidRDefault="00A93026" w:rsidP="00A9302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Adoption</w:t>
            </w:r>
          </w:p>
        </w:tc>
        <w:tc>
          <w:tcPr>
            <w:tcW w:w="742" w:type="dxa"/>
            <w:shd w:val="clear" w:color="000000" w:fill="E2EFDA"/>
            <w:vAlign w:val="center"/>
            <w:hideMark/>
          </w:tcPr>
          <w:p w:rsidR="00A93026" w:rsidRPr="00E05DE4" w:rsidRDefault="00A93026" w:rsidP="00A9302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Entry into force</w:t>
            </w:r>
          </w:p>
        </w:tc>
        <w:tc>
          <w:tcPr>
            <w:tcW w:w="1707" w:type="dxa"/>
            <w:shd w:val="clear" w:color="000000" w:fill="E2EFDA"/>
            <w:vAlign w:val="center"/>
            <w:hideMark/>
          </w:tcPr>
          <w:p w:rsidR="00A93026" w:rsidRPr="00E05DE4" w:rsidRDefault="00A93026" w:rsidP="00A9302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New</w:t>
            </w:r>
          </w:p>
        </w:tc>
        <w:tc>
          <w:tcPr>
            <w:tcW w:w="1633" w:type="dxa"/>
            <w:shd w:val="clear" w:color="000000" w:fill="E2EFDA"/>
            <w:vAlign w:val="center"/>
            <w:hideMark/>
          </w:tcPr>
          <w:p w:rsidR="00A93026" w:rsidRPr="00E05DE4" w:rsidRDefault="00A93026" w:rsidP="00A9302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Amendments</w:t>
            </w:r>
          </w:p>
        </w:tc>
        <w:tc>
          <w:tcPr>
            <w:tcW w:w="1043" w:type="dxa"/>
            <w:shd w:val="clear" w:color="000000" w:fill="E2EFDA"/>
            <w:vAlign w:val="center"/>
            <w:hideMark/>
          </w:tcPr>
          <w:p w:rsidR="00A93026" w:rsidRPr="00E05DE4" w:rsidRDefault="00A93026" w:rsidP="00A9302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 xml:space="preserve">Leader </w:t>
            </w:r>
            <w:r w:rsidRPr="00E05DE4">
              <w:rPr>
                <w:rFonts w:eastAsia="Times New Roman" w:cstheme="minorHAnsi"/>
                <w:b/>
                <w:bCs/>
                <w:color w:val="3A3838"/>
                <w:sz w:val="16"/>
                <w:szCs w:val="16"/>
                <w:lang w:val="en-GB"/>
              </w:rPr>
              <w:br/>
            </w:r>
            <w:r w:rsidRPr="00E05DE4">
              <w:rPr>
                <w:rFonts w:eastAsia="Times New Roman" w:cstheme="minorHAnsi"/>
                <w:i/>
                <w:iCs/>
                <w:color w:val="3A3838"/>
                <w:sz w:val="16"/>
                <w:szCs w:val="16"/>
                <w:lang w:val="en-GB"/>
              </w:rPr>
              <w:t>(incl. contact point)</w:t>
            </w:r>
          </w:p>
        </w:tc>
        <w:tc>
          <w:tcPr>
            <w:tcW w:w="1255" w:type="dxa"/>
            <w:shd w:val="clear" w:color="000000" w:fill="E2EFDA"/>
            <w:vAlign w:val="center"/>
            <w:hideMark/>
          </w:tcPr>
          <w:p w:rsidR="00A93026" w:rsidRPr="00E05DE4" w:rsidRDefault="00A93026" w:rsidP="00A9302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Partner(s)</w:t>
            </w:r>
          </w:p>
        </w:tc>
        <w:tc>
          <w:tcPr>
            <w:tcW w:w="1504" w:type="dxa"/>
            <w:vMerge/>
            <w:vAlign w:val="center"/>
            <w:hideMark/>
          </w:tcPr>
          <w:p w:rsidR="00A93026" w:rsidRPr="00E05DE4" w:rsidRDefault="00A93026" w:rsidP="00A93026">
            <w:pPr>
              <w:spacing w:after="0" w:line="240" w:lineRule="auto"/>
              <w:rPr>
                <w:rFonts w:eastAsia="Times New Roman" w:cstheme="minorHAnsi"/>
                <w:b/>
                <w:bCs/>
                <w:sz w:val="16"/>
                <w:szCs w:val="16"/>
                <w:lang w:val="en-GB"/>
              </w:rPr>
            </w:pPr>
          </w:p>
        </w:tc>
        <w:tc>
          <w:tcPr>
            <w:tcW w:w="1512" w:type="dxa"/>
            <w:vMerge/>
          </w:tcPr>
          <w:p w:rsidR="00A93026" w:rsidRPr="00E05DE4" w:rsidRDefault="00A93026" w:rsidP="00A93026">
            <w:pPr>
              <w:spacing w:after="0" w:line="240" w:lineRule="auto"/>
              <w:rPr>
                <w:rFonts w:eastAsia="Times New Roman" w:cstheme="minorHAnsi"/>
                <w:b/>
                <w:bCs/>
                <w:sz w:val="16"/>
                <w:szCs w:val="16"/>
                <w:lang w:val="en-GB"/>
              </w:rPr>
            </w:pPr>
          </w:p>
        </w:tc>
      </w:tr>
      <w:tr w:rsidR="00A93026" w:rsidRPr="00E05DE4" w:rsidTr="00EC2B9D">
        <w:trPr>
          <w:trHeight w:val="1140"/>
        </w:trPr>
        <w:tc>
          <w:tcPr>
            <w:tcW w:w="1774" w:type="dxa"/>
            <w:shd w:val="clear" w:color="auto" w:fill="auto"/>
            <w:hideMark/>
          </w:tcPr>
          <w:p w:rsidR="00A93026" w:rsidRPr="00E05DE4" w:rsidRDefault="00A9302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Council Directive 1999/35/EC of 29 April 1999 on a system of mandatory surveys for the safe operation of regular ro-ro ferry and high-speed passenger craft services</w:t>
            </w:r>
          </w:p>
        </w:tc>
        <w:tc>
          <w:tcPr>
            <w:tcW w:w="1358" w:type="dxa"/>
            <w:shd w:val="clear" w:color="000000" w:fill="FFFFFF"/>
            <w:noWrap/>
            <w:vAlign w:val="bottom"/>
            <w:hideMark/>
          </w:tcPr>
          <w:p w:rsidR="00A93026" w:rsidRPr="00E05DE4" w:rsidRDefault="00A93026" w:rsidP="00A9302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025" w:type="dxa"/>
            <w:shd w:val="clear" w:color="auto" w:fill="auto"/>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2019</w:t>
            </w:r>
          </w:p>
        </w:tc>
        <w:tc>
          <w:tcPr>
            <w:tcW w:w="784" w:type="dxa"/>
            <w:shd w:val="clear" w:color="000000" w:fill="FFFFFF"/>
            <w:vAlign w:val="center"/>
            <w:hideMark/>
          </w:tcPr>
          <w:p w:rsidR="00A93026" w:rsidRPr="00E05DE4" w:rsidRDefault="005A4E27"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YES</w:t>
            </w:r>
          </w:p>
        </w:tc>
        <w:tc>
          <w:tcPr>
            <w:tcW w:w="1143" w:type="dxa"/>
            <w:shd w:val="clear" w:color="000000" w:fill="FFFFFF"/>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2019</w:t>
            </w:r>
          </w:p>
        </w:tc>
        <w:tc>
          <w:tcPr>
            <w:tcW w:w="742" w:type="dxa"/>
            <w:shd w:val="clear" w:color="000000" w:fill="FFFFFF"/>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2019</w:t>
            </w:r>
          </w:p>
        </w:tc>
        <w:tc>
          <w:tcPr>
            <w:tcW w:w="1707" w:type="dxa"/>
            <w:shd w:val="clear" w:color="auto" w:fill="auto"/>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p>
        </w:tc>
        <w:tc>
          <w:tcPr>
            <w:tcW w:w="1633" w:type="dxa"/>
            <w:shd w:val="clear" w:color="auto" w:fill="auto"/>
            <w:vAlign w:val="center"/>
            <w:hideMark/>
          </w:tcPr>
          <w:p w:rsidR="00A93026" w:rsidRPr="00E05DE4" w:rsidRDefault="00A93026"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xml:space="preserve"> Consideration of legislative amendments for purposes of approximation with EU legislation in the field of maritime transport</w:t>
            </w:r>
          </w:p>
        </w:tc>
        <w:tc>
          <w:tcPr>
            <w:tcW w:w="1043" w:type="dxa"/>
            <w:shd w:val="clear" w:color="auto" w:fill="auto"/>
            <w:vAlign w:val="center"/>
            <w:hideMark/>
          </w:tcPr>
          <w:p w:rsidR="00A93026" w:rsidRPr="00E05DE4" w:rsidRDefault="00A93026" w:rsidP="00A93026">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1255" w:type="dxa"/>
            <w:shd w:val="clear" w:color="000000" w:fill="FFFFFF"/>
            <w:vAlign w:val="center"/>
            <w:hideMark/>
          </w:tcPr>
          <w:p w:rsidR="00A93026" w:rsidRPr="00E05DE4" w:rsidRDefault="00A93026" w:rsidP="00A9302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04" w:type="dxa"/>
            <w:shd w:val="clear" w:color="000000" w:fill="FFFFFF"/>
            <w:hideMark/>
          </w:tcPr>
          <w:p w:rsidR="00A93026" w:rsidRPr="00E05DE4" w:rsidRDefault="00A93026"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1512" w:type="dxa"/>
            <w:shd w:val="clear" w:color="000000" w:fill="FFFFFF"/>
          </w:tcPr>
          <w:p w:rsidR="00A93026" w:rsidRPr="00E05DE4" w:rsidRDefault="00A93026" w:rsidP="00A93026">
            <w:pPr>
              <w:spacing w:after="0" w:line="240" w:lineRule="auto"/>
              <w:rPr>
                <w:rFonts w:eastAsia="Times New Roman" w:cstheme="minorHAnsi"/>
                <w:sz w:val="16"/>
                <w:szCs w:val="16"/>
                <w:lang w:val="en-GB"/>
              </w:rPr>
            </w:pPr>
          </w:p>
        </w:tc>
      </w:tr>
      <w:tr w:rsidR="00A93026" w:rsidRPr="00E05DE4" w:rsidTr="00EC2B9D">
        <w:trPr>
          <w:trHeight w:val="2652"/>
        </w:trPr>
        <w:tc>
          <w:tcPr>
            <w:tcW w:w="1774" w:type="dxa"/>
            <w:shd w:val="clear" w:color="auto" w:fill="auto"/>
            <w:hideMark/>
          </w:tcPr>
          <w:p w:rsidR="00A93026" w:rsidRPr="00E05DE4" w:rsidRDefault="00A9302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 xml:space="preserve">Regulation (EC) No 417/2002 of the European Parliament and of the Council of 18 February 2002 on the accelerated phasing-in of double hull or equivalent design requirements for single hull oil tankers and repealing Council Regulation (EC) No 2978/94 </w:t>
            </w:r>
          </w:p>
        </w:tc>
        <w:tc>
          <w:tcPr>
            <w:tcW w:w="1358" w:type="dxa"/>
            <w:shd w:val="clear" w:color="auto" w:fill="auto"/>
            <w:vAlign w:val="center"/>
            <w:hideMark/>
          </w:tcPr>
          <w:p w:rsidR="00A93026" w:rsidRPr="00E05DE4" w:rsidRDefault="00A9302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This Regulation is no longer in force, it was repealed by Regulation (EU) No 530/2012 of the European Parliament and of the Council of 13 June 2012 on the accelerated phasing-in of double-hull or equivalent design requirements for single-hull oil tankers]</w:t>
            </w:r>
          </w:p>
        </w:tc>
        <w:tc>
          <w:tcPr>
            <w:tcW w:w="1025" w:type="dxa"/>
            <w:shd w:val="clear" w:color="000000" w:fill="FFFFFF"/>
            <w:vAlign w:val="center"/>
            <w:hideMark/>
          </w:tcPr>
          <w:p w:rsidR="00A93026" w:rsidRPr="00E05DE4" w:rsidRDefault="005A4E27"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N/A</w:t>
            </w:r>
          </w:p>
        </w:tc>
        <w:tc>
          <w:tcPr>
            <w:tcW w:w="784" w:type="dxa"/>
            <w:shd w:val="clear" w:color="000000" w:fill="FFFFFF"/>
            <w:vAlign w:val="center"/>
            <w:hideMark/>
          </w:tcPr>
          <w:p w:rsidR="00A93026" w:rsidRPr="00E05DE4" w:rsidRDefault="005A4E27"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NO</w:t>
            </w:r>
          </w:p>
        </w:tc>
        <w:tc>
          <w:tcPr>
            <w:tcW w:w="1143" w:type="dxa"/>
            <w:shd w:val="clear" w:color="000000" w:fill="FFFFFF"/>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p>
        </w:tc>
        <w:tc>
          <w:tcPr>
            <w:tcW w:w="742" w:type="dxa"/>
            <w:shd w:val="clear" w:color="000000" w:fill="FFFFFF"/>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p>
        </w:tc>
        <w:tc>
          <w:tcPr>
            <w:tcW w:w="1707" w:type="dxa"/>
            <w:shd w:val="clear" w:color="auto" w:fill="auto"/>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p>
        </w:tc>
        <w:tc>
          <w:tcPr>
            <w:tcW w:w="1633" w:type="dxa"/>
            <w:shd w:val="clear" w:color="000000" w:fill="FFFFFF"/>
            <w:vAlign w:val="center"/>
            <w:hideMark/>
          </w:tcPr>
          <w:p w:rsidR="00A93026" w:rsidRPr="00E05DE4" w:rsidRDefault="00A93026"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1043" w:type="dxa"/>
            <w:shd w:val="clear" w:color="auto" w:fill="auto"/>
            <w:vAlign w:val="center"/>
            <w:hideMark/>
          </w:tcPr>
          <w:p w:rsidR="00A93026" w:rsidRPr="00E05DE4" w:rsidRDefault="00A93026" w:rsidP="00A93026">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1255" w:type="dxa"/>
            <w:shd w:val="clear" w:color="000000" w:fill="FFFFFF"/>
            <w:vAlign w:val="center"/>
            <w:hideMark/>
          </w:tcPr>
          <w:p w:rsidR="00A93026" w:rsidRPr="00E05DE4" w:rsidRDefault="00A93026" w:rsidP="00A9302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04" w:type="dxa"/>
            <w:shd w:val="clear" w:color="auto" w:fill="auto"/>
            <w:hideMark/>
          </w:tcPr>
          <w:p w:rsidR="00A93026" w:rsidRPr="00E05DE4" w:rsidRDefault="00A9302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The timetable of phasing-out single hull tankers will follow the schedule as specified in the MARPOL Convention.</w:t>
            </w:r>
          </w:p>
        </w:tc>
        <w:tc>
          <w:tcPr>
            <w:tcW w:w="1512" w:type="dxa"/>
          </w:tcPr>
          <w:p w:rsidR="00A93026" w:rsidRPr="00E05DE4" w:rsidRDefault="00A93026" w:rsidP="00A93026">
            <w:pPr>
              <w:spacing w:after="0" w:line="240" w:lineRule="auto"/>
              <w:rPr>
                <w:rFonts w:eastAsia="Times New Roman" w:cstheme="minorHAnsi"/>
                <w:color w:val="000000"/>
                <w:sz w:val="16"/>
                <w:szCs w:val="16"/>
                <w:lang w:val="en-GB"/>
              </w:rPr>
            </w:pPr>
          </w:p>
        </w:tc>
      </w:tr>
      <w:tr w:rsidR="00A93026" w:rsidRPr="00E05DE4" w:rsidTr="00EC2B9D">
        <w:trPr>
          <w:trHeight w:val="3288"/>
        </w:trPr>
        <w:tc>
          <w:tcPr>
            <w:tcW w:w="1774" w:type="dxa"/>
            <w:shd w:val="clear" w:color="auto" w:fill="auto"/>
            <w:hideMark/>
          </w:tcPr>
          <w:p w:rsidR="00A93026" w:rsidRPr="00E05DE4" w:rsidRDefault="00A9302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Directive 2001/96/EC of the European Parliament and of the Council of 4 December 2001 establishing harmonised requirements and procedures for the safe loading and unloading of bulk carriers</w:t>
            </w:r>
          </w:p>
        </w:tc>
        <w:tc>
          <w:tcPr>
            <w:tcW w:w="1358" w:type="dxa"/>
            <w:shd w:val="clear" w:color="auto" w:fill="auto"/>
            <w:vAlign w:val="center"/>
            <w:hideMark/>
          </w:tcPr>
          <w:p w:rsidR="00A93026" w:rsidRPr="00E05DE4" w:rsidRDefault="00A9302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1025" w:type="dxa"/>
            <w:shd w:val="clear" w:color="000000" w:fill="FFFFFF"/>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2019</w:t>
            </w:r>
          </w:p>
        </w:tc>
        <w:tc>
          <w:tcPr>
            <w:tcW w:w="784" w:type="dxa"/>
            <w:shd w:val="clear" w:color="auto" w:fill="auto"/>
            <w:vAlign w:val="center"/>
            <w:hideMark/>
          </w:tcPr>
          <w:p w:rsidR="00A93026" w:rsidRPr="00E05DE4" w:rsidRDefault="005A4E27"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NO</w:t>
            </w:r>
          </w:p>
        </w:tc>
        <w:tc>
          <w:tcPr>
            <w:tcW w:w="1143" w:type="dxa"/>
            <w:shd w:val="clear" w:color="000000" w:fill="FFFFFF"/>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2019</w:t>
            </w:r>
          </w:p>
        </w:tc>
        <w:tc>
          <w:tcPr>
            <w:tcW w:w="742" w:type="dxa"/>
            <w:shd w:val="clear" w:color="000000" w:fill="FFFFFF"/>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2019</w:t>
            </w:r>
          </w:p>
        </w:tc>
        <w:tc>
          <w:tcPr>
            <w:tcW w:w="1707" w:type="dxa"/>
            <w:shd w:val="clear" w:color="auto" w:fill="auto"/>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p>
        </w:tc>
        <w:tc>
          <w:tcPr>
            <w:tcW w:w="1633" w:type="dxa"/>
            <w:shd w:val="clear" w:color="auto" w:fill="auto"/>
            <w:hideMark/>
          </w:tcPr>
          <w:p w:rsidR="00A93026" w:rsidRPr="00E05DE4" w:rsidRDefault="00A93026"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legislative amendments for purposes of approximation with EU legislation in the field of maritime transport</w:t>
            </w:r>
          </w:p>
        </w:tc>
        <w:tc>
          <w:tcPr>
            <w:tcW w:w="1043" w:type="dxa"/>
            <w:shd w:val="clear" w:color="auto" w:fill="auto"/>
            <w:vAlign w:val="center"/>
            <w:hideMark/>
          </w:tcPr>
          <w:p w:rsidR="00A93026" w:rsidRPr="00E05DE4" w:rsidRDefault="00A93026" w:rsidP="00A93026">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1255" w:type="dxa"/>
            <w:shd w:val="clear" w:color="000000" w:fill="FFFFFF"/>
            <w:vAlign w:val="center"/>
            <w:hideMark/>
          </w:tcPr>
          <w:p w:rsidR="00A93026" w:rsidRPr="00E05DE4" w:rsidRDefault="00A93026" w:rsidP="00A9302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04" w:type="dxa"/>
            <w:shd w:val="clear" w:color="auto" w:fill="auto"/>
            <w:hideMark/>
          </w:tcPr>
          <w:p w:rsidR="00A93026" w:rsidRPr="00E05DE4" w:rsidRDefault="00A93026" w:rsidP="005A4E27">
            <w:pPr>
              <w:spacing w:after="0" w:line="240" w:lineRule="auto"/>
              <w:jc w:val="both"/>
              <w:rPr>
                <w:rFonts w:eastAsia="Times New Roman" w:cstheme="minorHAnsi"/>
                <w:sz w:val="16"/>
                <w:szCs w:val="16"/>
                <w:lang w:val="en-GB"/>
              </w:rPr>
            </w:pPr>
          </w:p>
        </w:tc>
        <w:tc>
          <w:tcPr>
            <w:tcW w:w="1512" w:type="dxa"/>
            <w:shd w:val="clear" w:color="auto" w:fill="auto"/>
          </w:tcPr>
          <w:p w:rsidR="00A93026" w:rsidRPr="00E05DE4" w:rsidRDefault="00A93026" w:rsidP="00A93026">
            <w:pPr>
              <w:spacing w:after="0" w:line="240" w:lineRule="auto"/>
              <w:rPr>
                <w:rFonts w:eastAsia="Times New Roman" w:cstheme="minorHAnsi"/>
                <w:sz w:val="16"/>
                <w:szCs w:val="16"/>
                <w:lang w:val="en-GB"/>
              </w:rPr>
            </w:pPr>
          </w:p>
        </w:tc>
      </w:tr>
      <w:tr w:rsidR="00A93026" w:rsidRPr="00E05DE4" w:rsidTr="007217E8">
        <w:trPr>
          <w:trHeight w:val="1520"/>
        </w:trPr>
        <w:tc>
          <w:tcPr>
            <w:tcW w:w="1774" w:type="dxa"/>
            <w:shd w:val="clear" w:color="auto" w:fill="auto"/>
            <w:hideMark/>
          </w:tcPr>
          <w:p w:rsidR="00A93026" w:rsidRPr="00E05DE4" w:rsidRDefault="00A9302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lastRenderedPageBreak/>
              <w:t>Directive 2008/106/EC of the European Parliament and of the Council of 19 November 2008 on the minimum level of training of seafarers</w:t>
            </w:r>
          </w:p>
        </w:tc>
        <w:tc>
          <w:tcPr>
            <w:tcW w:w="1358" w:type="dxa"/>
            <w:shd w:val="clear" w:color="auto" w:fill="auto"/>
            <w:vAlign w:val="center"/>
            <w:hideMark/>
          </w:tcPr>
          <w:p w:rsidR="00A93026" w:rsidRPr="00E05DE4" w:rsidRDefault="00A9302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1025" w:type="dxa"/>
            <w:shd w:val="clear" w:color="000000" w:fill="FFFFFF"/>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2017</w:t>
            </w:r>
          </w:p>
        </w:tc>
        <w:tc>
          <w:tcPr>
            <w:tcW w:w="784" w:type="dxa"/>
            <w:shd w:val="clear" w:color="000000" w:fill="FFFFFF"/>
            <w:vAlign w:val="center"/>
            <w:hideMark/>
          </w:tcPr>
          <w:p w:rsidR="00A93026" w:rsidRPr="00E05DE4" w:rsidRDefault="005A4E27" w:rsidP="005A4E27">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NO</w:t>
            </w:r>
          </w:p>
        </w:tc>
        <w:tc>
          <w:tcPr>
            <w:tcW w:w="1143" w:type="dxa"/>
            <w:shd w:val="clear" w:color="000000" w:fill="FFFFFF"/>
            <w:vAlign w:val="center"/>
            <w:hideMark/>
          </w:tcPr>
          <w:p w:rsidR="00A93026" w:rsidRPr="00E05DE4" w:rsidRDefault="00A93026" w:rsidP="005A4E27">
            <w:pPr>
              <w:spacing w:after="0" w:line="240" w:lineRule="auto"/>
              <w:jc w:val="center"/>
              <w:rPr>
                <w:rFonts w:eastAsia="Times New Roman" w:cstheme="minorHAnsi"/>
                <w:sz w:val="16"/>
                <w:szCs w:val="16"/>
                <w:lang w:val="en-GB"/>
              </w:rPr>
            </w:pPr>
          </w:p>
        </w:tc>
        <w:tc>
          <w:tcPr>
            <w:tcW w:w="742" w:type="dxa"/>
            <w:shd w:val="clear" w:color="000000" w:fill="FFFFFF"/>
            <w:vAlign w:val="center"/>
            <w:hideMark/>
          </w:tcPr>
          <w:p w:rsidR="00A93026" w:rsidRPr="00E05DE4" w:rsidRDefault="00A93026" w:rsidP="005A4E27">
            <w:pPr>
              <w:spacing w:after="0" w:line="240" w:lineRule="auto"/>
              <w:jc w:val="center"/>
              <w:rPr>
                <w:rFonts w:eastAsia="Times New Roman" w:cstheme="minorHAnsi"/>
                <w:sz w:val="16"/>
                <w:szCs w:val="16"/>
                <w:lang w:val="en-GB"/>
              </w:rPr>
            </w:pPr>
          </w:p>
        </w:tc>
        <w:tc>
          <w:tcPr>
            <w:tcW w:w="1707" w:type="dxa"/>
            <w:shd w:val="clear" w:color="000000" w:fill="FFFFFF"/>
            <w:vAlign w:val="center"/>
            <w:hideMark/>
          </w:tcPr>
          <w:p w:rsidR="00A93026" w:rsidRPr="00E05DE4" w:rsidRDefault="00A93026" w:rsidP="005A4E27">
            <w:pPr>
              <w:spacing w:after="0" w:line="240" w:lineRule="auto"/>
              <w:jc w:val="center"/>
              <w:rPr>
                <w:rFonts w:eastAsia="Times New Roman" w:cstheme="minorHAnsi"/>
                <w:sz w:val="16"/>
                <w:szCs w:val="16"/>
                <w:lang w:val="en-GB"/>
              </w:rPr>
            </w:pPr>
          </w:p>
        </w:tc>
        <w:tc>
          <w:tcPr>
            <w:tcW w:w="1633" w:type="dxa"/>
            <w:shd w:val="clear" w:color="000000" w:fill="FFFFFF"/>
            <w:hideMark/>
          </w:tcPr>
          <w:p w:rsidR="00A93026" w:rsidRPr="00E05DE4" w:rsidRDefault="00A93026"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1043" w:type="dxa"/>
            <w:shd w:val="clear" w:color="auto" w:fill="auto"/>
            <w:vAlign w:val="center"/>
            <w:hideMark/>
          </w:tcPr>
          <w:p w:rsidR="00A93026" w:rsidRPr="00E05DE4" w:rsidRDefault="00A93026" w:rsidP="00A93026">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1255" w:type="dxa"/>
            <w:shd w:val="clear" w:color="000000" w:fill="FFFFFF"/>
            <w:vAlign w:val="center"/>
            <w:hideMark/>
          </w:tcPr>
          <w:p w:rsidR="00A93026" w:rsidRPr="00E05DE4" w:rsidRDefault="00A93026" w:rsidP="00A9302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04" w:type="dxa"/>
            <w:shd w:val="clear" w:color="auto" w:fill="auto"/>
            <w:hideMark/>
          </w:tcPr>
          <w:p w:rsidR="00A93026" w:rsidRPr="00E05DE4" w:rsidRDefault="00A93026" w:rsidP="005A4E27">
            <w:pPr>
              <w:spacing w:after="0" w:line="240" w:lineRule="auto"/>
              <w:jc w:val="both"/>
              <w:rPr>
                <w:rFonts w:eastAsia="Times New Roman" w:cstheme="minorHAnsi"/>
                <w:sz w:val="16"/>
                <w:szCs w:val="16"/>
                <w:lang w:val="en-GB"/>
              </w:rPr>
            </w:pPr>
          </w:p>
        </w:tc>
        <w:tc>
          <w:tcPr>
            <w:tcW w:w="1512" w:type="dxa"/>
            <w:shd w:val="clear" w:color="auto" w:fill="auto"/>
          </w:tcPr>
          <w:p w:rsidR="00A93026" w:rsidRPr="00E05DE4" w:rsidRDefault="00A93026" w:rsidP="00A93026">
            <w:pPr>
              <w:spacing w:after="0" w:line="240" w:lineRule="auto"/>
              <w:rPr>
                <w:rFonts w:eastAsia="Times New Roman" w:cstheme="minorHAnsi"/>
                <w:sz w:val="16"/>
                <w:szCs w:val="16"/>
                <w:lang w:val="en-GB"/>
              </w:rPr>
            </w:pPr>
          </w:p>
        </w:tc>
      </w:tr>
      <w:tr w:rsidR="00A93026" w:rsidRPr="00E05DE4" w:rsidTr="00EC2B9D">
        <w:trPr>
          <w:trHeight w:val="2028"/>
        </w:trPr>
        <w:tc>
          <w:tcPr>
            <w:tcW w:w="1774" w:type="dxa"/>
            <w:shd w:val="clear" w:color="auto" w:fill="auto"/>
            <w:hideMark/>
          </w:tcPr>
          <w:p w:rsidR="00A93026" w:rsidRPr="00E05DE4" w:rsidRDefault="00A9302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 xml:space="preserve">Directive 2000/59/EC of the European Parliament and of the Council of 27 November 2000 on port reception facilities for ship-generated waste and cargo residues </w:t>
            </w:r>
          </w:p>
        </w:tc>
        <w:tc>
          <w:tcPr>
            <w:tcW w:w="1358" w:type="dxa"/>
            <w:shd w:val="clear" w:color="auto" w:fill="auto"/>
            <w:vAlign w:val="center"/>
            <w:hideMark/>
          </w:tcPr>
          <w:p w:rsidR="00A93026" w:rsidRPr="007217E8" w:rsidRDefault="00A93026" w:rsidP="005A4E27">
            <w:pPr>
              <w:spacing w:after="0" w:line="240" w:lineRule="auto"/>
              <w:jc w:val="both"/>
              <w:rPr>
                <w:rFonts w:eastAsia="Times New Roman" w:cstheme="minorHAnsi"/>
                <w:bCs/>
                <w:color w:val="000000"/>
                <w:sz w:val="16"/>
                <w:szCs w:val="16"/>
                <w:lang w:val="en-GB"/>
              </w:rPr>
            </w:pPr>
            <w:r w:rsidRPr="007217E8">
              <w:rPr>
                <w:rFonts w:eastAsia="Times New Roman" w:cstheme="minorHAnsi"/>
                <w:bCs/>
                <w:color w:val="000000"/>
                <w:sz w:val="16"/>
                <w:szCs w:val="16"/>
                <w:lang w:val="en-GB"/>
              </w:rPr>
              <w:t>This Directive is no longer in force, it was repealed by Directive (EU) 2019/883 of the European Parliament and of the Council of 17 April 2019 on port reception facilities for the delivery of waste from ships, amending Directive 2010/65/EU and repealing Directive 2000/59/EC]</w:t>
            </w:r>
          </w:p>
        </w:tc>
        <w:tc>
          <w:tcPr>
            <w:tcW w:w="1025" w:type="dxa"/>
            <w:shd w:val="clear" w:color="000000" w:fill="FFFFFF"/>
            <w:vAlign w:val="center"/>
            <w:hideMark/>
          </w:tcPr>
          <w:p w:rsidR="00A93026" w:rsidRPr="00E05DE4" w:rsidRDefault="00A9302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2018</w:t>
            </w:r>
          </w:p>
        </w:tc>
        <w:tc>
          <w:tcPr>
            <w:tcW w:w="784" w:type="dxa"/>
            <w:shd w:val="clear" w:color="000000" w:fill="FFFFFF"/>
            <w:vAlign w:val="center"/>
            <w:hideMark/>
          </w:tcPr>
          <w:p w:rsidR="00A93026" w:rsidRPr="00E05DE4" w:rsidRDefault="005A4E27" w:rsidP="005A4E27">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YES</w:t>
            </w:r>
          </w:p>
        </w:tc>
        <w:tc>
          <w:tcPr>
            <w:tcW w:w="1143" w:type="dxa"/>
            <w:shd w:val="clear" w:color="000000" w:fill="FFFFFF"/>
            <w:vAlign w:val="center"/>
            <w:hideMark/>
          </w:tcPr>
          <w:p w:rsidR="00A93026" w:rsidRPr="00E05DE4" w:rsidRDefault="00A93026" w:rsidP="005A4E27">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2019</w:t>
            </w:r>
          </w:p>
        </w:tc>
        <w:tc>
          <w:tcPr>
            <w:tcW w:w="742" w:type="dxa"/>
            <w:shd w:val="clear" w:color="000000" w:fill="FFFFFF"/>
            <w:vAlign w:val="center"/>
            <w:hideMark/>
          </w:tcPr>
          <w:p w:rsidR="00A93026" w:rsidRPr="00E05DE4" w:rsidRDefault="00A93026" w:rsidP="005A4E27">
            <w:pPr>
              <w:spacing w:after="0" w:line="240" w:lineRule="auto"/>
              <w:jc w:val="center"/>
              <w:rPr>
                <w:rFonts w:eastAsia="Times New Roman" w:cstheme="minorHAnsi"/>
                <w:sz w:val="16"/>
                <w:szCs w:val="16"/>
                <w:lang w:val="en-GB"/>
              </w:rPr>
            </w:pPr>
            <w:r w:rsidRPr="00E05DE4">
              <w:rPr>
                <w:rFonts w:eastAsia="Times New Roman" w:cstheme="minorHAnsi"/>
                <w:sz w:val="16"/>
                <w:szCs w:val="16"/>
                <w:lang w:val="en-GB"/>
              </w:rPr>
              <w:t>2019</w:t>
            </w:r>
          </w:p>
        </w:tc>
        <w:tc>
          <w:tcPr>
            <w:tcW w:w="1707" w:type="dxa"/>
            <w:shd w:val="clear" w:color="000000" w:fill="FFFFFF"/>
            <w:noWrap/>
            <w:vAlign w:val="center"/>
            <w:hideMark/>
          </w:tcPr>
          <w:p w:rsidR="00A93026" w:rsidRPr="00E05DE4" w:rsidRDefault="00A93026" w:rsidP="005A4E27">
            <w:pPr>
              <w:spacing w:after="0" w:line="240" w:lineRule="auto"/>
              <w:jc w:val="center"/>
              <w:rPr>
                <w:rFonts w:eastAsia="Times New Roman" w:cstheme="minorHAnsi"/>
                <w:sz w:val="16"/>
                <w:szCs w:val="16"/>
                <w:lang w:val="en-GB"/>
              </w:rPr>
            </w:pPr>
          </w:p>
        </w:tc>
        <w:tc>
          <w:tcPr>
            <w:tcW w:w="1633" w:type="dxa"/>
            <w:shd w:val="clear" w:color="auto" w:fill="auto"/>
            <w:hideMark/>
          </w:tcPr>
          <w:p w:rsidR="00A93026" w:rsidRPr="00E05DE4" w:rsidRDefault="00A93026"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legislative amendments for purposes of approximation with EU legislation in the field of maritime transport</w:t>
            </w:r>
          </w:p>
        </w:tc>
        <w:tc>
          <w:tcPr>
            <w:tcW w:w="1043" w:type="dxa"/>
            <w:shd w:val="clear" w:color="000000" w:fill="FFFFFF"/>
            <w:vAlign w:val="center"/>
            <w:hideMark/>
          </w:tcPr>
          <w:p w:rsidR="00A93026" w:rsidRPr="00E05DE4" w:rsidRDefault="00A93026" w:rsidP="00A9302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255" w:type="dxa"/>
            <w:shd w:val="clear" w:color="auto" w:fill="auto"/>
            <w:vAlign w:val="center"/>
            <w:hideMark/>
          </w:tcPr>
          <w:p w:rsidR="00A93026" w:rsidRPr="00E05DE4" w:rsidRDefault="00A93026" w:rsidP="00A93026">
            <w:pPr>
              <w:spacing w:after="0" w:line="240" w:lineRule="auto"/>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1504" w:type="dxa"/>
            <w:shd w:val="clear" w:color="auto" w:fill="auto"/>
            <w:hideMark/>
          </w:tcPr>
          <w:p w:rsidR="00A93026" w:rsidRPr="00E05DE4" w:rsidRDefault="00A93026"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xml:space="preserve">. </w:t>
            </w:r>
          </w:p>
        </w:tc>
        <w:tc>
          <w:tcPr>
            <w:tcW w:w="1512" w:type="dxa"/>
            <w:shd w:val="clear" w:color="auto" w:fill="auto"/>
          </w:tcPr>
          <w:p w:rsidR="00A93026" w:rsidRPr="00E05DE4" w:rsidRDefault="00A93026" w:rsidP="00A93026">
            <w:pPr>
              <w:spacing w:after="0" w:line="240" w:lineRule="auto"/>
              <w:rPr>
                <w:rFonts w:eastAsia="Times New Roman" w:cstheme="minorHAnsi"/>
                <w:sz w:val="16"/>
                <w:szCs w:val="16"/>
                <w:lang w:val="en-GB"/>
              </w:rPr>
            </w:pPr>
          </w:p>
        </w:tc>
      </w:tr>
    </w:tbl>
    <w:p w:rsidR="00F07528" w:rsidRDefault="00F07528">
      <w:pPr>
        <w:rPr>
          <w:rFonts w:cstheme="minorHAnsi"/>
          <w:sz w:val="16"/>
          <w:szCs w:val="16"/>
          <w:lang w:val="en-GB"/>
        </w:rPr>
      </w:pPr>
    </w:p>
    <w:p w:rsidR="00F07528" w:rsidRPr="00E05DE4" w:rsidRDefault="00F07528">
      <w:pPr>
        <w:rPr>
          <w:rFonts w:cstheme="minorHAnsi"/>
          <w:sz w:val="16"/>
          <w:szCs w:val="16"/>
          <w:lang w:val="en-GB"/>
        </w:rPr>
      </w:pPr>
    </w:p>
    <w:p w:rsidR="005A4E27" w:rsidRPr="00E05DE4" w:rsidRDefault="005A4E27">
      <w:pPr>
        <w:rPr>
          <w:rFonts w:cstheme="minorHAnsi"/>
          <w:sz w:val="16"/>
          <w:szCs w:val="16"/>
          <w:lang w:val="en-GB"/>
        </w:rPr>
      </w:pPr>
    </w:p>
    <w:tbl>
      <w:tblPr>
        <w:tblW w:w="15480" w:type="dxa"/>
        <w:tblInd w:w="-545" w:type="dxa"/>
        <w:tblLook w:val="04A0" w:firstRow="1" w:lastRow="0" w:firstColumn="1" w:lastColumn="0" w:noHBand="0" w:noVBand="1"/>
      </w:tblPr>
      <w:tblGrid>
        <w:gridCol w:w="2124"/>
        <w:gridCol w:w="1182"/>
        <w:gridCol w:w="1129"/>
        <w:gridCol w:w="858"/>
        <w:gridCol w:w="1038"/>
        <w:gridCol w:w="683"/>
        <w:gridCol w:w="1529"/>
        <w:gridCol w:w="1462"/>
        <w:gridCol w:w="943"/>
        <w:gridCol w:w="1130"/>
        <w:gridCol w:w="1469"/>
        <w:gridCol w:w="1933"/>
      </w:tblGrid>
      <w:tr w:rsidR="0070132B" w:rsidRPr="00E05DE4" w:rsidTr="000A1D97">
        <w:trPr>
          <w:trHeight w:val="539"/>
        </w:trPr>
        <w:tc>
          <w:tcPr>
            <w:tcW w:w="15480" w:type="dxa"/>
            <w:gridSpan w:val="1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rsidR="0070132B" w:rsidRPr="00E05DE4" w:rsidRDefault="0070132B" w:rsidP="0070132B">
            <w:pPr>
              <w:spacing w:after="0" w:line="240" w:lineRule="auto"/>
              <w:jc w:val="center"/>
              <w:rPr>
                <w:rFonts w:eastAsia="Times New Roman" w:cstheme="minorHAnsi"/>
                <w:b/>
                <w:bCs/>
                <w:sz w:val="20"/>
                <w:szCs w:val="20"/>
                <w:lang w:val="en-GB"/>
              </w:rPr>
            </w:pPr>
            <w:r w:rsidRPr="00E05DE4">
              <w:rPr>
                <w:rFonts w:eastAsia="Times New Roman" w:cstheme="minorHAnsi"/>
                <w:b/>
                <w:bCs/>
                <w:sz w:val="20"/>
                <w:szCs w:val="20"/>
                <w:lang w:val="en-GB"/>
              </w:rPr>
              <w:t>FINANCIAL SERVICES</w:t>
            </w:r>
          </w:p>
        </w:tc>
      </w:tr>
      <w:tr w:rsidR="00EC2B9D" w:rsidRPr="00E05DE4" w:rsidTr="000A1D97">
        <w:trPr>
          <w:trHeight w:val="495"/>
        </w:trPr>
        <w:tc>
          <w:tcPr>
            <w:tcW w:w="3306" w:type="dxa"/>
            <w:gridSpan w:val="2"/>
            <w:tcBorders>
              <w:top w:val="single" w:sz="4" w:space="0" w:color="auto"/>
              <w:left w:val="single" w:sz="4" w:space="0" w:color="auto"/>
              <w:bottom w:val="single" w:sz="4" w:space="0" w:color="auto"/>
              <w:right w:val="single" w:sz="4" w:space="0" w:color="auto"/>
            </w:tcBorders>
            <w:shd w:val="clear" w:color="000000" w:fill="FFE699"/>
            <w:vAlign w:val="center"/>
            <w:hideMark/>
          </w:tcPr>
          <w:p w:rsidR="00EC2B9D" w:rsidRPr="00E05DE4" w:rsidRDefault="00EC2B9D" w:rsidP="0070132B">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EU Law</w:t>
            </w:r>
          </w:p>
        </w:tc>
        <w:tc>
          <w:tcPr>
            <w:tcW w:w="1129" w:type="dxa"/>
            <w:vMerge w:val="restart"/>
            <w:tcBorders>
              <w:top w:val="single" w:sz="4" w:space="0" w:color="auto"/>
              <w:left w:val="single" w:sz="4" w:space="0" w:color="auto"/>
              <w:bottom w:val="single" w:sz="4" w:space="0" w:color="auto"/>
              <w:right w:val="single" w:sz="4" w:space="0" w:color="auto"/>
            </w:tcBorders>
            <w:shd w:val="clear" w:color="000000" w:fill="FFD966"/>
            <w:vAlign w:val="center"/>
            <w:hideMark/>
          </w:tcPr>
          <w:p w:rsidR="00EC2B9D" w:rsidRPr="00E05DE4" w:rsidRDefault="00EC2B9D" w:rsidP="0070132B">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AA </w:t>
            </w:r>
            <w:r w:rsidRPr="00E05DE4">
              <w:rPr>
                <w:rFonts w:eastAsia="Times New Roman" w:cstheme="minorHAnsi"/>
                <w:b/>
                <w:bCs/>
                <w:sz w:val="16"/>
                <w:szCs w:val="16"/>
                <w:lang w:val="en-GB"/>
              </w:rPr>
              <w:br/>
              <w:t>Deadline</w:t>
            </w:r>
          </w:p>
        </w:tc>
        <w:tc>
          <w:tcPr>
            <w:tcW w:w="858" w:type="dxa"/>
            <w:vMerge w:val="restart"/>
            <w:tcBorders>
              <w:top w:val="single" w:sz="4" w:space="0" w:color="auto"/>
              <w:left w:val="single" w:sz="4" w:space="0" w:color="auto"/>
              <w:bottom w:val="single" w:sz="4" w:space="0" w:color="auto"/>
              <w:right w:val="single" w:sz="4" w:space="0" w:color="auto"/>
            </w:tcBorders>
            <w:shd w:val="clear" w:color="000000" w:fill="70AD47"/>
            <w:vAlign w:val="center"/>
            <w:hideMark/>
          </w:tcPr>
          <w:p w:rsidR="00EC2B9D" w:rsidRPr="00E05DE4" w:rsidRDefault="00EC2B9D" w:rsidP="0070132B">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LA </w:t>
            </w:r>
            <w:r w:rsidRPr="00E05DE4">
              <w:rPr>
                <w:rFonts w:eastAsia="Times New Roman" w:cstheme="minorHAnsi"/>
                <w:b/>
                <w:bCs/>
                <w:sz w:val="16"/>
                <w:szCs w:val="16"/>
                <w:lang w:val="en-GB"/>
              </w:rPr>
              <w:br/>
              <w:t>Status</w:t>
            </w:r>
          </w:p>
        </w:tc>
        <w:tc>
          <w:tcPr>
            <w:tcW w:w="1721"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EC2B9D" w:rsidRPr="00EC2B9D" w:rsidRDefault="00EC2B9D" w:rsidP="00EC2B9D">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Year</w:t>
            </w:r>
          </w:p>
        </w:tc>
        <w:tc>
          <w:tcPr>
            <w:tcW w:w="2991"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EC2B9D" w:rsidRPr="00E05DE4" w:rsidRDefault="00EC2B9D" w:rsidP="0070132B">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Domestic Legislation</w:t>
            </w:r>
          </w:p>
        </w:tc>
        <w:tc>
          <w:tcPr>
            <w:tcW w:w="2073" w:type="dxa"/>
            <w:gridSpan w:val="2"/>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EC2B9D" w:rsidRPr="00E05DE4" w:rsidRDefault="00EC2B9D" w:rsidP="0070132B">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Institution(s) In Charge</w:t>
            </w:r>
          </w:p>
        </w:tc>
        <w:tc>
          <w:tcPr>
            <w:tcW w:w="1469" w:type="dxa"/>
            <w:vMerge w:val="restart"/>
            <w:tcBorders>
              <w:top w:val="single" w:sz="4" w:space="0" w:color="auto"/>
              <w:left w:val="single" w:sz="4" w:space="0" w:color="auto"/>
              <w:bottom w:val="single" w:sz="4" w:space="0" w:color="auto"/>
              <w:right w:val="single" w:sz="4" w:space="0" w:color="auto"/>
            </w:tcBorders>
            <w:shd w:val="clear" w:color="000000" w:fill="A9D08E"/>
            <w:vAlign w:val="center"/>
            <w:hideMark/>
          </w:tcPr>
          <w:p w:rsidR="00EC2B9D" w:rsidRPr="00E05DE4" w:rsidRDefault="00EC2B9D" w:rsidP="005A4E27">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COMMENTS</w:t>
            </w:r>
          </w:p>
        </w:tc>
        <w:tc>
          <w:tcPr>
            <w:tcW w:w="1933" w:type="dxa"/>
            <w:vMerge w:val="restart"/>
            <w:tcBorders>
              <w:top w:val="single" w:sz="4" w:space="0" w:color="auto"/>
              <w:left w:val="single" w:sz="4" w:space="0" w:color="auto"/>
              <w:bottom w:val="single" w:sz="4" w:space="0" w:color="auto"/>
              <w:right w:val="single" w:sz="4" w:space="0" w:color="auto"/>
            </w:tcBorders>
            <w:shd w:val="clear" w:color="000000" w:fill="A9D08E"/>
            <w:vAlign w:val="center"/>
          </w:tcPr>
          <w:p w:rsidR="00EC2B9D" w:rsidRPr="00E05DE4" w:rsidRDefault="00EC2B9D" w:rsidP="005A4E27">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REFERENCE</w:t>
            </w:r>
          </w:p>
        </w:tc>
      </w:tr>
      <w:tr w:rsidR="001E06C1" w:rsidRPr="00E05DE4" w:rsidTr="000A1D97">
        <w:trPr>
          <w:trHeight w:val="810"/>
        </w:trPr>
        <w:tc>
          <w:tcPr>
            <w:tcW w:w="2124"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70132B" w:rsidRPr="00E05DE4" w:rsidRDefault="0070132B" w:rsidP="0070132B">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as per</w:t>
            </w:r>
            <w:r w:rsidRPr="00E05DE4">
              <w:rPr>
                <w:rFonts w:eastAsia="Times New Roman" w:cstheme="minorHAnsi"/>
                <w:b/>
                <w:bCs/>
                <w:color w:val="3A3838"/>
                <w:sz w:val="16"/>
                <w:szCs w:val="16"/>
                <w:lang w:val="en-GB"/>
              </w:rPr>
              <w:t xml:space="preserve"> AA</w:t>
            </w:r>
          </w:p>
        </w:tc>
        <w:tc>
          <w:tcPr>
            <w:tcW w:w="1182"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70132B" w:rsidRPr="00E05DE4" w:rsidRDefault="0070132B" w:rsidP="0070132B">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 xml:space="preserve">as per </w:t>
            </w:r>
            <w:r w:rsidRPr="00E05DE4">
              <w:rPr>
                <w:rFonts w:eastAsia="Times New Roman" w:cstheme="minorHAnsi"/>
                <w:b/>
                <w:bCs/>
                <w:color w:val="3A3838"/>
                <w:sz w:val="16"/>
                <w:szCs w:val="16"/>
                <w:lang w:val="en-GB"/>
              </w:rPr>
              <w:t>changes since AA</w:t>
            </w: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70132B" w:rsidRPr="00E05DE4" w:rsidRDefault="0070132B" w:rsidP="0070132B">
            <w:pPr>
              <w:spacing w:after="0" w:line="240" w:lineRule="auto"/>
              <w:rPr>
                <w:rFonts w:eastAsia="Times New Roman" w:cstheme="minorHAnsi"/>
                <w:b/>
                <w:bCs/>
                <w:sz w:val="16"/>
                <w:szCs w:val="16"/>
                <w:lang w:val="en-GB"/>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70132B" w:rsidRPr="00E05DE4" w:rsidRDefault="0070132B" w:rsidP="0070132B">
            <w:pPr>
              <w:spacing w:after="0" w:line="240" w:lineRule="auto"/>
              <w:rPr>
                <w:rFonts w:eastAsia="Times New Roman" w:cstheme="minorHAnsi"/>
                <w:b/>
                <w:bCs/>
                <w:sz w:val="16"/>
                <w:szCs w:val="16"/>
                <w:lang w:val="en-GB"/>
              </w:rPr>
            </w:pPr>
          </w:p>
        </w:tc>
        <w:tc>
          <w:tcPr>
            <w:tcW w:w="1038"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70132B" w:rsidRPr="00E05DE4" w:rsidRDefault="0070132B" w:rsidP="0070132B">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Adoption</w:t>
            </w:r>
          </w:p>
        </w:tc>
        <w:tc>
          <w:tcPr>
            <w:tcW w:w="683"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70132B" w:rsidRPr="00E05DE4" w:rsidRDefault="0070132B" w:rsidP="0070132B">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Entry into force</w:t>
            </w:r>
          </w:p>
        </w:tc>
        <w:tc>
          <w:tcPr>
            <w:tcW w:w="1529"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70132B" w:rsidRPr="00E05DE4" w:rsidRDefault="0070132B" w:rsidP="0070132B">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New</w:t>
            </w:r>
          </w:p>
        </w:tc>
        <w:tc>
          <w:tcPr>
            <w:tcW w:w="1462"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70132B" w:rsidRPr="00E05DE4" w:rsidRDefault="0070132B" w:rsidP="0070132B">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Amendments</w:t>
            </w:r>
          </w:p>
        </w:tc>
        <w:tc>
          <w:tcPr>
            <w:tcW w:w="943"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70132B" w:rsidRPr="00E05DE4" w:rsidRDefault="0070132B" w:rsidP="0070132B">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 xml:space="preserve">Leader </w:t>
            </w:r>
            <w:r w:rsidRPr="00E05DE4">
              <w:rPr>
                <w:rFonts w:eastAsia="Times New Roman" w:cstheme="minorHAnsi"/>
                <w:b/>
                <w:bCs/>
                <w:color w:val="3A3838"/>
                <w:sz w:val="16"/>
                <w:szCs w:val="16"/>
                <w:lang w:val="en-GB"/>
              </w:rPr>
              <w:br/>
            </w:r>
            <w:r w:rsidRPr="00E05DE4">
              <w:rPr>
                <w:rFonts w:eastAsia="Times New Roman" w:cstheme="minorHAnsi"/>
                <w:i/>
                <w:iCs/>
                <w:color w:val="3A3838"/>
                <w:sz w:val="16"/>
                <w:szCs w:val="16"/>
                <w:lang w:val="en-GB"/>
              </w:rPr>
              <w:t>(incl. contact point)</w:t>
            </w:r>
          </w:p>
        </w:tc>
        <w:tc>
          <w:tcPr>
            <w:tcW w:w="1130" w:type="dxa"/>
            <w:tcBorders>
              <w:top w:val="single" w:sz="4" w:space="0" w:color="auto"/>
              <w:left w:val="single" w:sz="4" w:space="0" w:color="auto"/>
              <w:bottom w:val="single" w:sz="4" w:space="0" w:color="auto"/>
              <w:right w:val="single" w:sz="4" w:space="0" w:color="auto"/>
            </w:tcBorders>
            <w:shd w:val="clear" w:color="000000" w:fill="E2EFDA"/>
            <w:vAlign w:val="center"/>
            <w:hideMark/>
          </w:tcPr>
          <w:p w:rsidR="0070132B" w:rsidRPr="00E05DE4" w:rsidRDefault="0070132B" w:rsidP="0070132B">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Partner(s)</w:t>
            </w:r>
          </w:p>
        </w:tc>
        <w:tc>
          <w:tcPr>
            <w:tcW w:w="1469" w:type="dxa"/>
            <w:vMerge/>
            <w:tcBorders>
              <w:top w:val="single" w:sz="4" w:space="0" w:color="auto"/>
              <w:left w:val="single" w:sz="4" w:space="0" w:color="auto"/>
              <w:bottom w:val="single" w:sz="4" w:space="0" w:color="auto"/>
              <w:right w:val="single" w:sz="4" w:space="0" w:color="auto"/>
            </w:tcBorders>
            <w:vAlign w:val="center"/>
            <w:hideMark/>
          </w:tcPr>
          <w:p w:rsidR="0070132B" w:rsidRPr="00E05DE4" w:rsidRDefault="0070132B" w:rsidP="0070132B">
            <w:pPr>
              <w:spacing w:after="0" w:line="240" w:lineRule="auto"/>
              <w:rPr>
                <w:rFonts w:eastAsia="Times New Roman" w:cstheme="minorHAnsi"/>
                <w:b/>
                <w:bCs/>
                <w:sz w:val="16"/>
                <w:szCs w:val="16"/>
                <w:lang w:val="en-GB"/>
              </w:rPr>
            </w:pPr>
          </w:p>
        </w:tc>
        <w:tc>
          <w:tcPr>
            <w:tcW w:w="1933" w:type="dxa"/>
            <w:vMerge/>
            <w:tcBorders>
              <w:top w:val="single" w:sz="4" w:space="0" w:color="auto"/>
              <w:left w:val="single" w:sz="4" w:space="0" w:color="auto"/>
              <w:bottom w:val="single" w:sz="4" w:space="0" w:color="auto"/>
              <w:right w:val="single" w:sz="4" w:space="0" w:color="auto"/>
            </w:tcBorders>
          </w:tcPr>
          <w:p w:rsidR="0070132B" w:rsidRPr="00E05DE4" w:rsidRDefault="0070132B" w:rsidP="0070132B">
            <w:pPr>
              <w:spacing w:after="0" w:line="240" w:lineRule="auto"/>
              <w:rPr>
                <w:rFonts w:eastAsia="Times New Roman" w:cstheme="minorHAnsi"/>
                <w:b/>
                <w:bCs/>
                <w:sz w:val="16"/>
                <w:szCs w:val="16"/>
                <w:lang w:val="en-GB"/>
              </w:rPr>
            </w:pPr>
          </w:p>
        </w:tc>
      </w:tr>
      <w:tr w:rsidR="0070132B" w:rsidRPr="00E05DE4" w:rsidTr="000A1D97">
        <w:trPr>
          <w:trHeight w:val="2208"/>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70132B" w:rsidRPr="00E05DE4" w:rsidRDefault="0070132B"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lastRenderedPageBreak/>
              <w:t>Directive 2006/49/EC of the European Parliament and of the Council of 14 June 2006 on the capital adequacy of investment firms and credit institutions</w:t>
            </w:r>
          </w:p>
        </w:tc>
        <w:tc>
          <w:tcPr>
            <w:tcW w:w="1182" w:type="dxa"/>
            <w:tcBorders>
              <w:top w:val="single" w:sz="4" w:space="0" w:color="auto"/>
              <w:left w:val="nil"/>
              <w:bottom w:val="single" w:sz="4" w:space="0" w:color="auto"/>
              <w:right w:val="single" w:sz="4" w:space="0" w:color="auto"/>
            </w:tcBorders>
            <w:shd w:val="clear" w:color="auto" w:fill="auto"/>
            <w:hideMark/>
          </w:tcPr>
          <w:p w:rsidR="0070132B" w:rsidRPr="00E05DE4" w:rsidRDefault="0070132B"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Has been repealed by Directive 2013/36/EU of the European Parliament and of the Council of 26 June 2013 on access to the activity of credit institutions and the prudential supervision of credit institutions and investment firms, amending Directive 2002/87/EC and repealing Directives 2006/48/EC and 2006/49/EC]</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70132B" w:rsidRPr="00E05DE4" w:rsidRDefault="0070132B"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2019</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70132B" w:rsidRPr="00E05DE4" w:rsidRDefault="005A4E27"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NO</w:t>
            </w:r>
          </w:p>
        </w:tc>
        <w:tc>
          <w:tcPr>
            <w:tcW w:w="1038" w:type="dxa"/>
            <w:tcBorders>
              <w:top w:val="single" w:sz="4" w:space="0" w:color="auto"/>
              <w:left w:val="nil"/>
              <w:bottom w:val="single" w:sz="4" w:space="0" w:color="auto"/>
              <w:right w:val="single" w:sz="4" w:space="0" w:color="auto"/>
            </w:tcBorders>
            <w:shd w:val="clear" w:color="000000" w:fill="FFFFFF"/>
            <w:vAlign w:val="bottom"/>
            <w:hideMark/>
          </w:tcPr>
          <w:p w:rsidR="0070132B" w:rsidRPr="00E05DE4" w:rsidRDefault="0070132B"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683" w:type="dxa"/>
            <w:tcBorders>
              <w:top w:val="single" w:sz="4" w:space="0" w:color="auto"/>
              <w:left w:val="nil"/>
              <w:bottom w:val="single" w:sz="4" w:space="0" w:color="auto"/>
              <w:right w:val="single" w:sz="4" w:space="0" w:color="auto"/>
            </w:tcBorders>
            <w:shd w:val="clear" w:color="000000" w:fill="FFFFFF"/>
            <w:vAlign w:val="bottom"/>
            <w:hideMark/>
          </w:tcPr>
          <w:p w:rsidR="0070132B" w:rsidRPr="00E05DE4" w:rsidRDefault="0070132B"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1529" w:type="dxa"/>
            <w:tcBorders>
              <w:top w:val="single" w:sz="4" w:space="0" w:color="auto"/>
              <w:left w:val="nil"/>
              <w:bottom w:val="single" w:sz="4" w:space="0" w:color="auto"/>
              <w:right w:val="single" w:sz="4" w:space="0" w:color="auto"/>
            </w:tcBorders>
            <w:shd w:val="clear" w:color="000000" w:fill="FFFFFF"/>
            <w:vAlign w:val="bottom"/>
            <w:hideMark/>
          </w:tcPr>
          <w:p w:rsidR="0070132B" w:rsidRPr="00E05DE4" w:rsidRDefault="0070132B"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1462" w:type="dxa"/>
            <w:tcBorders>
              <w:top w:val="single" w:sz="4" w:space="0" w:color="auto"/>
              <w:left w:val="nil"/>
              <w:bottom w:val="single" w:sz="4" w:space="0" w:color="auto"/>
              <w:right w:val="single" w:sz="4" w:space="0" w:color="auto"/>
            </w:tcBorders>
            <w:shd w:val="clear" w:color="000000" w:fill="FFFFFF"/>
            <w:vAlign w:val="bottom"/>
            <w:hideMark/>
          </w:tcPr>
          <w:p w:rsidR="0070132B" w:rsidRPr="00E05DE4" w:rsidRDefault="0070132B"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70132B" w:rsidRPr="00E05DE4" w:rsidRDefault="0070132B"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70132B" w:rsidRPr="00E05DE4" w:rsidRDefault="0070132B"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1469" w:type="dxa"/>
            <w:tcBorders>
              <w:top w:val="single" w:sz="4" w:space="0" w:color="auto"/>
              <w:left w:val="nil"/>
              <w:bottom w:val="single" w:sz="4" w:space="0" w:color="auto"/>
              <w:right w:val="single" w:sz="4" w:space="0" w:color="auto"/>
            </w:tcBorders>
            <w:shd w:val="clear" w:color="000000" w:fill="FFFFFF"/>
            <w:vAlign w:val="bottom"/>
            <w:hideMark/>
          </w:tcPr>
          <w:p w:rsidR="0070132B" w:rsidRPr="00E05DE4" w:rsidRDefault="0070132B"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1933" w:type="dxa"/>
            <w:tcBorders>
              <w:top w:val="single" w:sz="4" w:space="0" w:color="auto"/>
              <w:left w:val="nil"/>
              <w:bottom w:val="single" w:sz="4" w:space="0" w:color="auto"/>
              <w:right w:val="single" w:sz="4" w:space="0" w:color="auto"/>
            </w:tcBorders>
            <w:shd w:val="clear" w:color="000000" w:fill="FFFFFF"/>
          </w:tcPr>
          <w:p w:rsidR="0070132B" w:rsidRPr="00E05DE4" w:rsidRDefault="0070132B" w:rsidP="005A4E27">
            <w:pPr>
              <w:spacing w:after="0" w:line="240" w:lineRule="auto"/>
              <w:jc w:val="both"/>
              <w:rPr>
                <w:rFonts w:eastAsia="Times New Roman" w:cstheme="minorHAnsi"/>
                <w:sz w:val="16"/>
                <w:szCs w:val="16"/>
                <w:lang w:val="en-GB"/>
              </w:rPr>
            </w:pPr>
          </w:p>
        </w:tc>
      </w:tr>
      <w:tr w:rsidR="0070132B" w:rsidRPr="00E05DE4" w:rsidTr="007217E8">
        <w:trPr>
          <w:trHeight w:val="971"/>
        </w:trPr>
        <w:tc>
          <w:tcPr>
            <w:tcW w:w="2124" w:type="dxa"/>
            <w:tcBorders>
              <w:top w:val="nil"/>
              <w:left w:val="single" w:sz="4" w:space="0" w:color="auto"/>
              <w:bottom w:val="single" w:sz="4" w:space="0" w:color="auto"/>
              <w:right w:val="single" w:sz="4" w:space="0" w:color="auto"/>
            </w:tcBorders>
            <w:shd w:val="clear" w:color="auto" w:fill="auto"/>
            <w:hideMark/>
          </w:tcPr>
          <w:p w:rsidR="0070132B" w:rsidRPr="00E05DE4" w:rsidRDefault="0070132B"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Commission Recommendation of 18 December 1991 on insurance intermediaries (92/48/EEC)</w:t>
            </w:r>
          </w:p>
        </w:tc>
        <w:tc>
          <w:tcPr>
            <w:tcW w:w="1182" w:type="dxa"/>
            <w:tcBorders>
              <w:top w:val="nil"/>
              <w:left w:val="nil"/>
              <w:bottom w:val="single" w:sz="4" w:space="0" w:color="auto"/>
              <w:right w:val="single" w:sz="4" w:space="0" w:color="auto"/>
            </w:tcBorders>
            <w:shd w:val="clear" w:color="000000" w:fill="FFFFFF"/>
            <w:hideMark/>
          </w:tcPr>
          <w:p w:rsidR="0070132B" w:rsidRPr="00E05DE4" w:rsidRDefault="0070132B"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1129" w:type="dxa"/>
            <w:tcBorders>
              <w:top w:val="nil"/>
              <w:left w:val="nil"/>
              <w:bottom w:val="single" w:sz="4" w:space="0" w:color="auto"/>
              <w:right w:val="single" w:sz="4" w:space="0" w:color="auto"/>
            </w:tcBorders>
            <w:shd w:val="clear" w:color="auto" w:fill="auto"/>
            <w:vAlign w:val="center"/>
            <w:hideMark/>
          </w:tcPr>
          <w:p w:rsidR="0070132B" w:rsidRPr="00E05DE4" w:rsidRDefault="0070132B"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N/A</w:t>
            </w:r>
          </w:p>
        </w:tc>
        <w:tc>
          <w:tcPr>
            <w:tcW w:w="858" w:type="dxa"/>
            <w:tcBorders>
              <w:top w:val="nil"/>
              <w:left w:val="nil"/>
              <w:bottom w:val="single" w:sz="4" w:space="0" w:color="auto"/>
              <w:right w:val="single" w:sz="4" w:space="0" w:color="auto"/>
            </w:tcBorders>
            <w:shd w:val="clear" w:color="auto" w:fill="auto"/>
            <w:vAlign w:val="center"/>
            <w:hideMark/>
          </w:tcPr>
          <w:p w:rsidR="0070132B" w:rsidRPr="00E05DE4" w:rsidRDefault="005A4E27"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NO</w:t>
            </w:r>
          </w:p>
        </w:tc>
        <w:tc>
          <w:tcPr>
            <w:tcW w:w="1038" w:type="dxa"/>
            <w:tcBorders>
              <w:top w:val="nil"/>
              <w:left w:val="nil"/>
              <w:bottom w:val="single" w:sz="4" w:space="0" w:color="auto"/>
              <w:right w:val="single" w:sz="4" w:space="0" w:color="auto"/>
            </w:tcBorders>
            <w:shd w:val="clear" w:color="000000" w:fill="FFFFFF"/>
            <w:vAlign w:val="bottom"/>
            <w:hideMark/>
          </w:tcPr>
          <w:p w:rsidR="0070132B" w:rsidRPr="00E05DE4" w:rsidRDefault="0070132B"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683" w:type="dxa"/>
            <w:tcBorders>
              <w:top w:val="nil"/>
              <w:left w:val="nil"/>
              <w:bottom w:val="single" w:sz="4" w:space="0" w:color="auto"/>
              <w:right w:val="single" w:sz="4" w:space="0" w:color="auto"/>
            </w:tcBorders>
            <w:shd w:val="clear" w:color="000000" w:fill="FFFFFF"/>
            <w:vAlign w:val="bottom"/>
            <w:hideMark/>
          </w:tcPr>
          <w:p w:rsidR="0070132B" w:rsidRPr="00E05DE4" w:rsidRDefault="0070132B"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1529" w:type="dxa"/>
            <w:tcBorders>
              <w:top w:val="nil"/>
              <w:left w:val="nil"/>
              <w:bottom w:val="single" w:sz="4" w:space="0" w:color="auto"/>
              <w:right w:val="single" w:sz="4" w:space="0" w:color="auto"/>
            </w:tcBorders>
            <w:shd w:val="clear" w:color="000000" w:fill="FFFFFF"/>
            <w:vAlign w:val="bottom"/>
            <w:hideMark/>
          </w:tcPr>
          <w:p w:rsidR="0070132B" w:rsidRPr="00E05DE4" w:rsidRDefault="0070132B"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1462" w:type="dxa"/>
            <w:tcBorders>
              <w:top w:val="nil"/>
              <w:left w:val="nil"/>
              <w:bottom w:val="single" w:sz="4" w:space="0" w:color="auto"/>
              <w:right w:val="single" w:sz="4" w:space="0" w:color="auto"/>
            </w:tcBorders>
            <w:shd w:val="clear" w:color="000000" w:fill="FFFFFF"/>
            <w:vAlign w:val="bottom"/>
            <w:hideMark/>
          </w:tcPr>
          <w:p w:rsidR="0070132B" w:rsidRPr="00E05DE4" w:rsidRDefault="0070132B"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943" w:type="dxa"/>
            <w:tcBorders>
              <w:top w:val="nil"/>
              <w:left w:val="nil"/>
              <w:bottom w:val="single" w:sz="4" w:space="0" w:color="auto"/>
              <w:right w:val="single" w:sz="4" w:space="0" w:color="auto"/>
            </w:tcBorders>
            <w:shd w:val="clear" w:color="000000" w:fill="FFFFFF"/>
            <w:vAlign w:val="center"/>
            <w:hideMark/>
          </w:tcPr>
          <w:p w:rsidR="0070132B" w:rsidRPr="00E05DE4" w:rsidRDefault="0070132B"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 </w:t>
            </w:r>
          </w:p>
        </w:tc>
        <w:tc>
          <w:tcPr>
            <w:tcW w:w="1130" w:type="dxa"/>
            <w:tcBorders>
              <w:top w:val="nil"/>
              <w:left w:val="nil"/>
              <w:bottom w:val="single" w:sz="4" w:space="0" w:color="auto"/>
              <w:right w:val="single" w:sz="4" w:space="0" w:color="auto"/>
            </w:tcBorders>
            <w:shd w:val="clear" w:color="000000" w:fill="FFFFFF"/>
            <w:vAlign w:val="bottom"/>
            <w:hideMark/>
          </w:tcPr>
          <w:p w:rsidR="0070132B" w:rsidRPr="00E05DE4" w:rsidRDefault="0070132B" w:rsidP="005A4E27">
            <w:pPr>
              <w:spacing w:after="0" w:line="240" w:lineRule="auto"/>
              <w:jc w:val="both"/>
              <w:rPr>
                <w:rFonts w:eastAsia="Times New Roman" w:cstheme="minorHAnsi"/>
                <w:sz w:val="16"/>
                <w:szCs w:val="16"/>
                <w:lang w:val="en-GB"/>
              </w:rPr>
            </w:pPr>
            <w:r w:rsidRPr="00E05DE4">
              <w:rPr>
                <w:rFonts w:eastAsia="Times New Roman" w:cstheme="minorHAnsi"/>
                <w:sz w:val="16"/>
                <w:szCs w:val="16"/>
                <w:lang w:val="en-GB"/>
              </w:rPr>
              <w:t> </w:t>
            </w:r>
          </w:p>
        </w:tc>
        <w:tc>
          <w:tcPr>
            <w:tcW w:w="1469" w:type="dxa"/>
            <w:tcBorders>
              <w:top w:val="nil"/>
              <w:left w:val="nil"/>
              <w:bottom w:val="single" w:sz="4" w:space="0" w:color="auto"/>
              <w:right w:val="single" w:sz="4" w:space="0" w:color="auto"/>
            </w:tcBorders>
            <w:shd w:val="clear" w:color="auto" w:fill="auto"/>
            <w:vAlign w:val="bottom"/>
            <w:hideMark/>
          </w:tcPr>
          <w:p w:rsidR="0070132B" w:rsidRPr="00E05DE4" w:rsidRDefault="0070132B" w:rsidP="005A4E27">
            <w:pPr>
              <w:spacing w:after="0" w:line="240" w:lineRule="auto"/>
              <w:jc w:val="both"/>
              <w:rPr>
                <w:rFonts w:eastAsia="Times New Roman" w:cstheme="minorHAnsi"/>
                <w:sz w:val="16"/>
                <w:szCs w:val="16"/>
                <w:lang w:val="en-GB"/>
              </w:rPr>
            </w:pPr>
          </w:p>
        </w:tc>
        <w:tc>
          <w:tcPr>
            <w:tcW w:w="1933" w:type="dxa"/>
            <w:tcBorders>
              <w:top w:val="nil"/>
              <w:left w:val="nil"/>
              <w:bottom w:val="single" w:sz="4" w:space="0" w:color="auto"/>
              <w:right w:val="single" w:sz="4" w:space="0" w:color="auto"/>
            </w:tcBorders>
            <w:shd w:val="clear" w:color="auto" w:fill="auto"/>
          </w:tcPr>
          <w:p w:rsidR="0070132B" w:rsidRPr="00E05DE4" w:rsidRDefault="0070132B" w:rsidP="005A4E27">
            <w:pPr>
              <w:spacing w:after="0" w:line="240" w:lineRule="auto"/>
              <w:jc w:val="both"/>
              <w:rPr>
                <w:rFonts w:eastAsia="Times New Roman" w:cstheme="minorHAnsi"/>
                <w:sz w:val="16"/>
                <w:szCs w:val="16"/>
                <w:lang w:val="en-GB"/>
              </w:rPr>
            </w:pPr>
          </w:p>
        </w:tc>
      </w:tr>
    </w:tbl>
    <w:p w:rsidR="005A4E27" w:rsidRDefault="005A4E27">
      <w:pPr>
        <w:rPr>
          <w:rFonts w:cstheme="minorHAnsi"/>
          <w:sz w:val="16"/>
          <w:szCs w:val="16"/>
          <w:lang w:val="en-GB"/>
        </w:rPr>
      </w:pPr>
    </w:p>
    <w:p w:rsidR="00F07528" w:rsidRPr="00E05DE4" w:rsidRDefault="00F07528">
      <w:pPr>
        <w:rPr>
          <w:rFonts w:cstheme="minorHAnsi"/>
          <w:sz w:val="16"/>
          <w:szCs w:val="16"/>
          <w:lang w:val="en-GB"/>
        </w:rPr>
      </w:pPr>
    </w:p>
    <w:tbl>
      <w:tblPr>
        <w:tblW w:w="155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921"/>
        <w:gridCol w:w="1242"/>
        <w:gridCol w:w="998"/>
        <w:gridCol w:w="1030"/>
        <w:gridCol w:w="678"/>
        <w:gridCol w:w="1530"/>
        <w:gridCol w:w="1464"/>
        <w:gridCol w:w="944"/>
        <w:gridCol w:w="1131"/>
        <w:gridCol w:w="1855"/>
        <w:gridCol w:w="1800"/>
      </w:tblGrid>
      <w:tr w:rsidR="00CB3AC6" w:rsidRPr="00E05DE4" w:rsidTr="000A1D97">
        <w:trPr>
          <w:trHeight w:val="737"/>
        </w:trPr>
        <w:tc>
          <w:tcPr>
            <w:tcW w:w="15570" w:type="dxa"/>
            <w:gridSpan w:val="12"/>
            <w:shd w:val="clear" w:color="auto" w:fill="9CC2E5" w:themeFill="accent1" w:themeFillTint="99"/>
            <w:vAlign w:val="center"/>
          </w:tcPr>
          <w:p w:rsidR="00CB3AC6" w:rsidRPr="00E05DE4" w:rsidRDefault="00CB3AC6" w:rsidP="00CB3AC6">
            <w:pPr>
              <w:spacing w:after="0" w:line="240" w:lineRule="auto"/>
              <w:jc w:val="center"/>
              <w:rPr>
                <w:rFonts w:eastAsia="Times New Roman" w:cstheme="minorHAnsi"/>
                <w:b/>
                <w:bCs/>
                <w:sz w:val="20"/>
                <w:szCs w:val="20"/>
                <w:lang w:val="en-GB"/>
              </w:rPr>
            </w:pPr>
            <w:r w:rsidRPr="00E05DE4">
              <w:rPr>
                <w:rFonts w:eastAsia="Times New Roman" w:cstheme="minorHAnsi"/>
                <w:b/>
                <w:bCs/>
                <w:sz w:val="20"/>
                <w:szCs w:val="20"/>
                <w:lang w:val="en-GB"/>
              </w:rPr>
              <w:t>TECHNICAL REGULATIONS, STANDARDS AND CONFORMITY ASSESSMENT</w:t>
            </w:r>
          </w:p>
        </w:tc>
      </w:tr>
      <w:tr w:rsidR="00EC2B9D" w:rsidRPr="00E05DE4" w:rsidTr="00F50E46">
        <w:trPr>
          <w:trHeight w:val="495"/>
        </w:trPr>
        <w:tc>
          <w:tcPr>
            <w:tcW w:w="2898" w:type="dxa"/>
            <w:gridSpan w:val="2"/>
            <w:shd w:val="clear" w:color="000000" w:fill="FFE699"/>
            <w:vAlign w:val="center"/>
            <w:hideMark/>
          </w:tcPr>
          <w:p w:rsidR="00EC2B9D" w:rsidRPr="00E05DE4" w:rsidRDefault="00EC2B9D" w:rsidP="00CB3AC6">
            <w:pPr>
              <w:spacing w:after="0" w:line="240" w:lineRule="auto"/>
              <w:jc w:val="center"/>
              <w:rPr>
                <w:rFonts w:eastAsia="Times New Roman" w:cstheme="minorHAnsi"/>
                <w:b/>
                <w:bCs/>
                <w:color w:val="3A3838"/>
                <w:sz w:val="16"/>
                <w:szCs w:val="16"/>
                <w:lang w:val="en-GB"/>
              </w:rPr>
            </w:pPr>
            <w:proofErr w:type="spellStart"/>
            <w:r w:rsidRPr="00E05DE4">
              <w:rPr>
                <w:rFonts w:eastAsia="Times New Roman" w:cstheme="minorHAnsi"/>
                <w:b/>
                <w:bCs/>
                <w:color w:val="3A3838"/>
                <w:sz w:val="16"/>
                <w:szCs w:val="16"/>
                <w:lang w:val="en-GB"/>
              </w:rPr>
              <w:t>Eu</w:t>
            </w:r>
            <w:proofErr w:type="spellEnd"/>
            <w:r w:rsidRPr="00E05DE4">
              <w:rPr>
                <w:rFonts w:eastAsia="Times New Roman" w:cstheme="minorHAnsi"/>
                <w:b/>
                <w:bCs/>
                <w:color w:val="3A3838"/>
                <w:sz w:val="16"/>
                <w:szCs w:val="16"/>
                <w:lang w:val="en-GB"/>
              </w:rPr>
              <w:t xml:space="preserve"> Law</w:t>
            </w:r>
          </w:p>
        </w:tc>
        <w:tc>
          <w:tcPr>
            <w:tcW w:w="1242" w:type="dxa"/>
            <w:vMerge w:val="restart"/>
            <w:shd w:val="clear" w:color="000000" w:fill="FFD966"/>
            <w:vAlign w:val="center"/>
            <w:hideMark/>
          </w:tcPr>
          <w:p w:rsidR="00EC2B9D" w:rsidRPr="00E05DE4" w:rsidRDefault="00EC2B9D" w:rsidP="00CB3AC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Aa </w:t>
            </w:r>
            <w:r w:rsidRPr="00E05DE4">
              <w:rPr>
                <w:rFonts w:eastAsia="Times New Roman" w:cstheme="minorHAnsi"/>
                <w:b/>
                <w:bCs/>
                <w:sz w:val="16"/>
                <w:szCs w:val="16"/>
                <w:lang w:val="en-GB"/>
              </w:rPr>
              <w:br/>
              <w:t>Deadline</w:t>
            </w:r>
          </w:p>
        </w:tc>
        <w:tc>
          <w:tcPr>
            <w:tcW w:w="998" w:type="dxa"/>
            <w:vMerge w:val="restart"/>
            <w:shd w:val="clear" w:color="000000" w:fill="70AD47"/>
            <w:vAlign w:val="center"/>
            <w:hideMark/>
          </w:tcPr>
          <w:p w:rsidR="00EC2B9D" w:rsidRPr="00E05DE4" w:rsidRDefault="00EC2B9D" w:rsidP="00CB3AC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 xml:space="preserve">La </w:t>
            </w:r>
            <w:r w:rsidRPr="00E05DE4">
              <w:rPr>
                <w:rFonts w:eastAsia="Times New Roman" w:cstheme="minorHAnsi"/>
                <w:b/>
                <w:bCs/>
                <w:sz w:val="16"/>
                <w:szCs w:val="16"/>
                <w:lang w:val="en-GB"/>
              </w:rPr>
              <w:br/>
              <w:t>Status</w:t>
            </w:r>
          </w:p>
        </w:tc>
        <w:tc>
          <w:tcPr>
            <w:tcW w:w="1708" w:type="dxa"/>
            <w:gridSpan w:val="2"/>
            <w:shd w:val="clear" w:color="000000" w:fill="A9D08E"/>
            <w:noWrap/>
            <w:vAlign w:val="center"/>
            <w:hideMark/>
          </w:tcPr>
          <w:p w:rsidR="00EC2B9D" w:rsidRPr="00E05DE4" w:rsidRDefault="00EC2B9D" w:rsidP="00CB3AC6">
            <w:pPr>
              <w:spacing w:after="0" w:line="240" w:lineRule="auto"/>
              <w:jc w:val="center"/>
              <w:rPr>
                <w:rFonts w:eastAsia="Times New Roman" w:cstheme="minorHAnsi"/>
                <w:b/>
                <w:bCs/>
                <w:color w:val="FFFFFF"/>
                <w:sz w:val="16"/>
                <w:szCs w:val="16"/>
                <w:lang w:val="en-GB"/>
              </w:rPr>
            </w:pPr>
            <w:r w:rsidRPr="00E05DE4">
              <w:rPr>
                <w:rFonts w:eastAsia="Times New Roman" w:cstheme="minorHAnsi"/>
                <w:b/>
                <w:bCs/>
                <w:sz w:val="16"/>
                <w:szCs w:val="16"/>
                <w:lang w:val="en-GB"/>
              </w:rPr>
              <w:t>Year</w:t>
            </w:r>
          </w:p>
        </w:tc>
        <w:tc>
          <w:tcPr>
            <w:tcW w:w="2994" w:type="dxa"/>
            <w:gridSpan w:val="2"/>
            <w:shd w:val="clear" w:color="000000" w:fill="A9D08E"/>
            <w:noWrap/>
            <w:vAlign w:val="center"/>
            <w:hideMark/>
          </w:tcPr>
          <w:p w:rsidR="00EC2B9D" w:rsidRPr="00E05DE4" w:rsidRDefault="00EC2B9D" w:rsidP="00CB3AC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Domestic Legislation</w:t>
            </w:r>
          </w:p>
        </w:tc>
        <w:tc>
          <w:tcPr>
            <w:tcW w:w="2075" w:type="dxa"/>
            <w:gridSpan w:val="2"/>
            <w:shd w:val="clear" w:color="000000" w:fill="A9D08E"/>
            <w:noWrap/>
            <w:vAlign w:val="center"/>
            <w:hideMark/>
          </w:tcPr>
          <w:p w:rsidR="00EC2B9D" w:rsidRPr="00E05DE4" w:rsidRDefault="00EC2B9D" w:rsidP="00CB3AC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Institution(S) In Charge</w:t>
            </w:r>
          </w:p>
        </w:tc>
        <w:tc>
          <w:tcPr>
            <w:tcW w:w="1855" w:type="dxa"/>
            <w:vMerge w:val="restart"/>
            <w:shd w:val="clear" w:color="000000" w:fill="A9D08E"/>
            <w:vAlign w:val="center"/>
            <w:hideMark/>
          </w:tcPr>
          <w:p w:rsidR="00EC2B9D" w:rsidRPr="00E05DE4" w:rsidRDefault="00EC2B9D" w:rsidP="00CB3AC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Comments</w:t>
            </w:r>
          </w:p>
        </w:tc>
        <w:tc>
          <w:tcPr>
            <w:tcW w:w="1800" w:type="dxa"/>
            <w:vMerge w:val="restart"/>
            <w:shd w:val="clear" w:color="000000" w:fill="A9D08E"/>
            <w:vAlign w:val="center"/>
          </w:tcPr>
          <w:p w:rsidR="00EC2B9D" w:rsidRPr="00E05DE4" w:rsidRDefault="00EC2B9D" w:rsidP="00CB3AC6">
            <w:pPr>
              <w:spacing w:after="0" w:line="240" w:lineRule="auto"/>
              <w:jc w:val="center"/>
              <w:rPr>
                <w:rFonts w:eastAsia="Times New Roman" w:cstheme="minorHAnsi"/>
                <w:b/>
                <w:bCs/>
                <w:sz w:val="16"/>
                <w:szCs w:val="16"/>
                <w:lang w:val="en-GB"/>
              </w:rPr>
            </w:pPr>
            <w:r w:rsidRPr="00E05DE4">
              <w:rPr>
                <w:rFonts w:eastAsia="Times New Roman" w:cstheme="minorHAnsi"/>
                <w:b/>
                <w:bCs/>
                <w:sz w:val="16"/>
                <w:szCs w:val="16"/>
                <w:lang w:val="en-GB"/>
              </w:rPr>
              <w:t>Reference</w:t>
            </w:r>
          </w:p>
        </w:tc>
      </w:tr>
      <w:tr w:rsidR="00CB3AC6" w:rsidRPr="00E05DE4" w:rsidTr="00EC2B9D">
        <w:trPr>
          <w:trHeight w:val="810"/>
        </w:trPr>
        <w:tc>
          <w:tcPr>
            <w:tcW w:w="1977" w:type="dxa"/>
            <w:shd w:val="clear" w:color="000000" w:fill="FFF2CC"/>
            <w:vAlign w:val="center"/>
            <w:hideMark/>
          </w:tcPr>
          <w:p w:rsidR="00CB3AC6" w:rsidRPr="00E05DE4" w:rsidRDefault="00CB3AC6" w:rsidP="00CB3AC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as per</w:t>
            </w:r>
            <w:r w:rsidRPr="00E05DE4">
              <w:rPr>
                <w:rFonts w:eastAsia="Times New Roman" w:cstheme="minorHAnsi"/>
                <w:b/>
                <w:bCs/>
                <w:color w:val="3A3838"/>
                <w:sz w:val="16"/>
                <w:szCs w:val="16"/>
                <w:lang w:val="en-GB"/>
              </w:rPr>
              <w:t xml:space="preserve"> AA</w:t>
            </w:r>
          </w:p>
        </w:tc>
        <w:tc>
          <w:tcPr>
            <w:tcW w:w="921" w:type="dxa"/>
            <w:shd w:val="clear" w:color="000000" w:fill="FFF2CC"/>
            <w:vAlign w:val="center"/>
            <w:hideMark/>
          </w:tcPr>
          <w:p w:rsidR="00CB3AC6" w:rsidRPr="00E05DE4" w:rsidRDefault="00CB3AC6" w:rsidP="00CB3AC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br/>
            </w:r>
            <w:r w:rsidRPr="00E05DE4">
              <w:rPr>
                <w:rFonts w:eastAsia="Times New Roman" w:cstheme="minorHAnsi"/>
                <w:b/>
                <w:bCs/>
                <w:i/>
                <w:iCs/>
                <w:color w:val="3A3838"/>
                <w:sz w:val="16"/>
                <w:szCs w:val="16"/>
                <w:lang w:val="en-GB"/>
              </w:rPr>
              <w:t xml:space="preserve">as per </w:t>
            </w:r>
            <w:r w:rsidRPr="00E05DE4">
              <w:rPr>
                <w:rFonts w:eastAsia="Times New Roman" w:cstheme="minorHAnsi"/>
                <w:b/>
                <w:bCs/>
                <w:color w:val="3A3838"/>
                <w:sz w:val="16"/>
                <w:szCs w:val="16"/>
                <w:lang w:val="en-GB"/>
              </w:rPr>
              <w:t>changes since AA</w:t>
            </w:r>
          </w:p>
        </w:tc>
        <w:tc>
          <w:tcPr>
            <w:tcW w:w="1242" w:type="dxa"/>
            <w:vMerge/>
            <w:vAlign w:val="center"/>
            <w:hideMark/>
          </w:tcPr>
          <w:p w:rsidR="00CB3AC6" w:rsidRPr="00E05DE4" w:rsidRDefault="00CB3AC6" w:rsidP="00CB3AC6">
            <w:pPr>
              <w:spacing w:after="0" w:line="240" w:lineRule="auto"/>
              <w:rPr>
                <w:rFonts w:eastAsia="Times New Roman" w:cstheme="minorHAnsi"/>
                <w:b/>
                <w:bCs/>
                <w:sz w:val="16"/>
                <w:szCs w:val="16"/>
                <w:lang w:val="en-GB"/>
              </w:rPr>
            </w:pPr>
          </w:p>
        </w:tc>
        <w:tc>
          <w:tcPr>
            <w:tcW w:w="998" w:type="dxa"/>
            <w:vMerge/>
            <w:vAlign w:val="center"/>
            <w:hideMark/>
          </w:tcPr>
          <w:p w:rsidR="00CB3AC6" w:rsidRPr="00E05DE4" w:rsidRDefault="00CB3AC6" w:rsidP="00CB3AC6">
            <w:pPr>
              <w:spacing w:after="0" w:line="240" w:lineRule="auto"/>
              <w:rPr>
                <w:rFonts w:eastAsia="Times New Roman" w:cstheme="minorHAnsi"/>
                <w:b/>
                <w:bCs/>
                <w:sz w:val="16"/>
                <w:szCs w:val="16"/>
                <w:lang w:val="en-GB"/>
              </w:rPr>
            </w:pPr>
          </w:p>
        </w:tc>
        <w:tc>
          <w:tcPr>
            <w:tcW w:w="1030" w:type="dxa"/>
            <w:shd w:val="clear" w:color="000000" w:fill="E2EFDA"/>
            <w:vAlign w:val="center"/>
            <w:hideMark/>
          </w:tcPr>
          <w:p w:rsidR="00CB3AC6" w:rsidRPr="00E05DE4" w:rsidRDefault="00CB3AC6" w:rsidP="00CB3AC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Adoption</w:t>
            </w:r>
          </w:p>
        </w:tc>
        <w:tc>
          <w:tcPr>
            <w:tcW w:w="678" w:type="dxa"/>
            <w:shd w:val="clear" w:color="000000" w:fill="E2EFDA"/>
            <w:vAlign w:val="center"/>
            <w:hideMark/>
          </w:tcPr>
          <w:p w:rsidR="00CB3AC6" w:rsidRPr="00E05DE4" w:rsidRDefault="00CB3AC6" w:rsidP="00CB3AC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Entry into force</w:t>
            </w:r>
          </w:p>
        </w:tc>
        <w:tc>
          <w:tcPr>
            <w:tcW w:w="1530" w:type="dxa"/>
            <w:shd w:val="clear" w:color="000000" w:fill="E2EFDA"/>
            <w:vAlign w:val="center"/>
            <w:hideMark/>
          </w:tcPr>
          <w:p w:rsidR="00CB3AC6" w:rsidRPr="00E05DE4" w:rsidRDefault="00CB3AC6" w:rsidP="00CB3AC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New</w:t>
            </w:r>
          </w:p>
        </w:tc>
        <w:tc>
          <w:tcPr>
            <w:tcW w:w="1464" w:type="dxa"/>
            <w:shd w:val="clear" w:color="000000" w:fill="E2EFDA"/>
            <w:vAlign w:val="center"/>
            <w:hideMark/>
          </w:tcPr>
          <w:p w:rsidR="00CB3AC6" w:rsidRPr="00E05DE4" w:rsidRDefault="00CB3AC6" w:rsidP="00CB3AC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Amendments</w:t>
            </w:r>
          </w:p>
        </w:tc>
        <w:tc>
          <w:tcPr>
            <w:tcW w:w="944" w:type="dxa"/>
            <w:shd w:val="clear" w:color="000000" w:fill="E2EFDA"/>
            <w:vAlign w:val="center"/>
            <w:hideMark/>
          </w:tcPr>
          <w:p w:rsidR="00CB3AC6" w:rsidRPr="00E05DE4" w:rsidRDefault="00CB3AC6" w:rsidP="00CB3AC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 xml:space="preserve">Leader </w:t>
            </w:r>
            <w:r w:rsidRPr="00E05DE4">
              <w:rPr>
                <w:rFonts w:eastAsia="Times New Roman" w:cstheme="minorHAnsi"/>
                <w:b/>
                <w:bCs/>
                <w:color w:val="3A3838"/>
                <w:sz w:val="16"/>
                <w:szCs w:val="16"/>
                <w:lang w:val="en-GB"/>
              </w:rPr>
              <w:br/>
            </w:r>
            <w:r w:rsidRPr="00E05DE4">
              <w:rPr>
                <w:rFonts w:eastAsia="Times New Roman" w:cstheme="minorHAnsi"/>
                <w:i/>
                <w:iCs/>
                <w:color w:val="3A3838"/>
                <w:sz w:val="16"/>
                <w:szCs w:val="16"/>
                <w:lang w:val="en-GB"/>
              </w:rPr>
              <w:t>(incl. contact point)</w:t>
            </w:r>
          </w:p>
        </w:tc>
        <w:tc>
          <w:tcPr>
            <w:tcW w:w="1131" w:type="dxa"/>
            <w:shd w:val="clear" w:color="000000" w:fill="E2EFDA"/>
            <w:vAlign w:val="center"/>
            <w:hideMark/>
          </w:tcPr>
          <w:p w:rsidR="00CB3AC6" w:rsidRPr="00E05DE4" w:rsidRDefault="00CB3AC6" w:rsidP="00CB3AC6">
            <w:pPr>
              <w:spacing w:after="0" w:line="240" w:lineRule="auto"/>
              <w:jc w:val="center"/>
              <w:rPr>
                <w:rFonts w:eastAsia="Times New Roman" w:cstheme="minorHAnsi"/>
                <w:b/>
                <w:bCs/>
                <w:color w:val="3A3838"/>
                <w:sz w:val="16"/>
                <w:szCs w:val="16"/>
                <w:lang w:val="en-GB"/>
              </w:rPr>
            </w:pPr>
            <w:r w:rsidRPr="00E05DE4">
              <w:rPr>
                <w:rFonts w:eastAsia="Times New Roman" w:cstheme="minorHAnsi"/>
                <w:b/>
                <w:bCs/>
                <w:color w:val="3A3838"/>
                <w:sz w:val="16"/>
                <w:szCs w:val="16"/>
                <w:lang w:val="en-GB"/>
              </w:rPr>
              <w:t>Partner(s)</w:t>
            </w:r>
          </w:p>
        </w:tc>
        <w:tc>
          <w:tcPr>
            <w:tcW w:w="1855" w:type="dxa"/>
            <w:vMerge/>
            <w:vAlign w:val="center"/>
            <w:hideMark/>
          </w:tcPr>
          <w:p w:rsidR="00CB3AC6" w:rsidRPr="00E05DE4" w:rsidRDefault="00CB3AC6" w:rsidP="00CB3AC6">
            <w:pPr>
              <w:spacing w:after="0" w:line="240" w:lineRule="auto"/>
              <w:rPr>
                <w:rFonts w:eastAsia="Times New Roman" w:cstheme="minorHAnsi"/>
                <w:b/>
                <w:bCs/>
                <w:sz w:val="16"/>
                <w:szCs w:val="16"/>
                <w:lang w:val="en-GB"/>
              </w:rPr>
            </w:pPr>
          </w:p>
        </w:tc>
        <w:tc>
          <w:tcPr>
            <w:tcW w:w="1800" w:type="dxa"/>
            <w:vMerge/>
          </w:tcPr>
          <w:p w:rsidR="00CB3AC6" w:rsidRPr="00E05DE4" w:rsidRDefault="00CB3AC6" w:rsidP="00CB3AC6">
            <w:pPr>
              <w:spacing w:after="0" w:line="240" w:lineRule="auto"/>
              <w:rPr>
                <w:rFonts w:eastAsia="Times New Roman" w:cstheme="minorHAnsi"/>
                <w:b/>
                <w:bCs/>
                <w:sz w:val="16"/>
                <w:szCs w:val="16"/>
                <w:lang w:val="en-GB"/>
              </w:rPr>
            </w:pPr>
          </w:p>
        </w:tc>
      </w:tr>
      <w:tr w:rsidR="00CB3AC6" w:rsidRPr="00E05DE4" w:rsidTr="00EC2B9D">
        <w:trPr>
          <w:trHeight w:val="1644"/>
        </w:trPr>
        <w:tc>
          <w:tcPr>
            <w:tcW w:w="1977" w:type="dxa"/>
            <w:shd w:val="clear" w:color="auto" w:fill="auto"/>
            <w:hideMark/>
          </w:tcPr>
          <w:p w:rsidR="00CB3AC6" w:rsidRPr="00EC2B9D" w:rsidRDefault="00CB3AC6" w:rsidP="00EC2B9D">
            <w:pPr>
              <w:spacing w:after="0" w:line="240" w:lineRule="auto"/>
              <w:jc w:val="both"/>
              <w:rPr>
                <w:rFonts w:eastAsia="Times New Roman" w:cstheme="minorHAnsi"/>
                <w:color w:val="000000"/>
                <w:sz w:val="16"/>
                <w:szCs w:val="16"/>
                <w:lang w:val="en-GB"/>
              </w:rPr>
            </w:pPr>
            <w:r w:rsidRPr="00EC2B9D">
              <w:rPr>
                <w:rFonts w:eastAsia="Times New Roman" w:cstheme="minorHAnsi"/>
                <w:color w:val="000000"/>
                <w:sz w:val="16"/>
                <w:szCs w:val="16"/>
                <w:lang w:val="en-GB"/>
              </w:rPr>
              <w:lastRenderedPageBreak/>
              <w:t>Directive 2014/30/EU of the European Parliament and of the Council of 26 February 2014 on the harmonisation of the laws of the Member States relating to electromagnetic compatibility</w:t>
            </w:r>
          </w:p>
        </w:tc>
        <w:tc>
          <w:tcPr>
            <w:tcW w:w="92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242"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2022</w:t>
            </w:r>
          </w:p>
        </w:tc>
        <w:tc>
          <w:tcPr>
            <w:tcW w:w="998"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p>
        </w:tc>
        <w:tc>
          <w:tcPr>
            <w:tcW w:w="10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78"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46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94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13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55"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00" w:type="dxa"/>
            <w:shd w:val="clear" w:color="000000" w:fill="FFFFFF"/>
          </w:tcPr>
          <w:p w:rsidR="00CB3AC6" w:rsidRPr="00E05DE4" w:rsidRDefault="00CB3AC6" w:rsidP="00CB3AC6">
            <w:pPr>
              <w:spacing w:after="0" w:line="240" w:lineRule="auto"/>
              <w:rPr>
                <w:rFonts w:eastAsia="Times New Roman" w:cstheme="minorHAnsi"/>
                <w:sz w:val="16"/>
                <w:szCs w:val="16"/>
                <w:lang w:val="en-GB"/>
              </w:rPr>
            </w:pPr>
          </w:p>
        </w:tc>
      </w:tr>
      <w:tr w:rsidR="00CB3AC6" w:rsidRPr="00E05DE4" w:rsidTr="00EC2B9D">
        <w:trPr>
          <w:trHeight w:val="2340"/>
        </w:trPr>
        <w:tc>
          <w:tcPr>
            <w:tcW w:w="1977" w:type="dxa"/>
            <w:shd w:val="clear" w:color="auto" w:fill="auto"/>
            <w:hideMark/>
          </w:tcPr>
          <w:p w:rsidR="00CB3AC6" w:rsidRPr="00EC2B9D" w:rsidRDefault="00CB3AC6" w:rsidP="00EC2B9D">
            <w:pPr>
              <w:spacing w:after="0" w:line="240" w:lineRule="auto"/>
              <w:jc w:val="both"/>
              <w:rPr>
                <w:rFonts w:eastAsia="Times New Roman" w:cstheme="minorHAnsi"/>
                <w:color w:val="000000"/>
                <w:sz w:val="16"/>
                <w:szCs w:val="16"/>
                <w:lang w:val="en-GB"/>
              </w:rPr>
            </w:pPr>
            <w:r w:rsidRPr="00EC2B9D">
              <w:rPr>
                <w:rFonts w:eastAsia="Times New Roman" w:cstheme="minorHAnsi"/>
                <w:color w:val="000000"/>
                <w:sz w:val="16"/>
                <w:szCs w:val="16"/>
                <w:lang w:val="en-GB"/>
              </w:rPr>
              <w:t>Directive 2014/35/EU of the European Parliament and of the Council of 26 February 2014 on the harmonisation of the laws of the Member States relating to the making available on the market of electrical equipment designed for use within certain voltage limits</w:t>
            </w:r>
          </w:p>
        </w:tc>
        <w:tc>
          <w:tcPr>
            <w:tcW w:w="92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242"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2022</w:t>
            </w:r>
          </w:p>
        </w:tc>
        <w:tc>
          <w:tcPr>
            <w:tcW w:w="998"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p>
        </w:tc>
        <w:tc>
          <w:tcPr>
            <w:tcW w:w="10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78"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46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94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13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55"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00" w:type="dxa"/>
            <w:shd w:val="clear" w:color="000000" w:fill="FFFFFF"/>
          </w:tcPr>
          <w:p w:rsidR="00CB3AC6" w:rsidRPr="00E05DE4" w:rsidRDefault="00CB3AC6" w:rsidP="00CB3AC6">
            <w:pPr>
              <w:spacing w:after="0" w:line="240" w:lineRule="auto"/>
              <w:rPr>
                <w:rFonts w:eastAsia="Times New Roman" w:cstheme="minorHAnsi"/>
                <w:sz w:val="16"/>
                <w:szCs w:val="16"/>
                <w:lang w:val="en-GB"/>
              </w:rPr>
            </w:pPr>
          </w:p>
        </w:tc>
      </w:tr>
      <w:tr w:rsidR="00CB3AC6" w:rsidRPr="00E05DE4" w:rsidTr="00EC2B9D">
        <w:trPr>
          <w:trHeight w:val="2028"/>
        </w:trPr>
        <w:tc>
          <w:tcPr>
            <w:tcW w:w="1977" w:type="dxa"/>
            <w:shd w:val="clear" w:color="auto" w:fill="auto"/>
            <w:hideMark/>
          </w:tcPr>
          <w:p w:rsidR="00CB3AC6" w:rsidRPr="00EC2B9D" w:rsidRDefault="00CB3AC6" w:rsidP="00EC2B9D">
            <w:pPr>
              <w:spacing w:after="0" w:line="240" w:lineRule="auto"/>
              <w:jc w:val="both"/>
              <w:rPr>
                <w:rFonts w:eastAsia="Times New Roman" w:cstheme="minorHAnsi"/>
                <w:color w:val="000000"/>
                <w:sz w:val="16"/>
                <w:szCs w:val="16"/>
                <w:lang w:val="en-GB"/>
              </w:rPr>
            </w:pPr>
            <w:r w:rsidRPr="00EC2B9D">
              <w:rPr>
                <w:rFonts w:eastAsia="Times New Roman" w:cstheme="minorHAnsi"/>
                <w:color w:val="000000"/>
                <w:sz w:val="16"/>
                <w:szCs w:val="16"/>
                <w:lang w:val="en-GB"/>
              </w:rPr>
              <w:t>Regulation (EU) 2017/745 of the European Parliament and of the Council of 5 April 2017 on medical devices, amending Directive 2001/83/EC, Regulation (EC) No 178/2002 and Regulation (EC) No 1223/2009 and repealing Council Directives 90/385/EEC and 93/42/EEC</w:t>
            </w:r>
          </w:p>
        </w:tc>
        <w:tc>
          <w:tcPr>
            <w:tcW w:w="92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242"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2022</w:t>
            </w:r>
          </w:p>
        </w:tc>
        <w:tc>
          <w:tcPr>
            <w:tcW w:w="998"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p>
        </w:tc>
        <w:tc>
          <w:tcPr>
            <w:tcW w:w="10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78"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46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94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13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55"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00" w:type="dxa"/>
            <w:shd w:val="clear" w:color="000000" w:fill="FFFFFF"/>
          </w:tcPr>
          <w:p w:rsidR="00CB3AC6" w:rsidRPr="00E05DE4" w:rsidRDefault="00CB3AC6" w:rsidP="00CB3AC6">
            <w:pPr>
              <w:spacing w:after="0" w:line="240" w:lineRule="auto"/>
              <w:rPr>
                <w:rFonts w:eastAsia="Times New Roman" w:cstheme="minorHAnsi"/>
                <w:sz w:val="16"/>
                <w:szCs w:val="16"/>
                <w:lang w:val="en-GB"/>
              </w:rPr>
            </w:pPr>
          </w:p>
        </w:tc>
      </w:tr>
      <w:tr w:rsidR="00CB3AC6" w:rsidRPr="00E05DE4" w:rsidTr="00EC2B9D">
        <w:trPr>
          <w:trHeight w:val="1608"/>
        </w:trPr>
        <w:tc>
          <w:tcPr>
            <w:tcW w:w="1977" w:type="dxa"/>
            <w:shd w:val="clear" w:color="auto" w:fill="auto"/>
            <w:hideMark/>
          </w:tcPr>
          <w:p w:rsidR="00CB3AC6" w:rsidRPr="00EC2B9D" w:rsidRDefault="00CB3AC6" w:rsidP="00EC2B9D">
            <w:pPr>
              <w:spacing w:after="0" w:line="240" w:lineRule="auto"/>
              <w:jc w:val="both"/>
              <w:rPr>
                <w:rFonts w:eastAsia="Times New Roman" w:cstheme="minorHAnsi"/>
                <w:color w:val="000000"/>
                <w:sz w:val="16"/>
                <w:szCs w:val="16"/>
                <w:lang w:val="en-GB"/>
              </w:rPr>
            </w:pPr>
            <w:r w:rsidRPr="00EC2B9D">
              <w:rPr>
                <w:rFonts w:eastAsia="Times New Roman" w:cstheme="minorHAnsi"/>
                <w:color w:val="000000"/>
                <w:sz w:val="16"/>
                <w:szCs w:val="16"/>
                <w:lang w:val="en-GB"/>
              </w:rPr>
              <w:t>Regulation (EU) 2017/746 of the European Parliament and of the Council of 5 April 2017 on in vitro diagnostic medical devices and repealing Directive 98/79/EC and Commission Decision 2010/227/EU)</w:t>
            </w:r>
          </w:p>
        </w:tc>
        <w:tc>
          <w:tcPr>
            <w:tcW w:w="92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242"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2022</w:t>
            </w:r>
          </w:p>
        </w:tc>
        <w:tc>
          <w:tcPr>
            <w:tcW w:w="998"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p>
        </w:tc>
        <w:tc>
          <w:tcPr>
            <w:tcW w:w="10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78"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46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94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13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55"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00" w:type="dxa"/>
            <w:shd w:val="clear" w:color="000000" w:fill="FFFFFF"/>
          </w:tcPr>
          <w:p w:rsidR="00CB3AC6" w:rsidRPr="00E05DE4" w:rsidRDefault="00CB3AC6" w:rsidP="00CB3AC6">
            <w:pPr>
              <w:spacing w:after="0" w:line="240" w:lineRule="auto"/>
              <w:rPr>
                <w:rFonts w:eastAsia="Times New Roman" w:cstheme="minorHAnsi"/>
                <w:sz w:val="16"/>
                <w:szCs w:val="16"/>
                <w:lang w:val="en-GB"/>
              </w:rPr>
            </w:pPr>
          </w:p>
        </w:tc>
      </w:tr>
      <w:tr w:rsidR="00CB3AC6" w:rsidRPr="00E05DE4" w:rsidTr="00EC2B9D">
        <w:trPr>
          <w:trHeight w:val="1740"/>
        </w:trPr>
        <w:tc>
          <w:tcPr>
            <w:tcW w:w="1977" w:type="dxa"/>
            <w:shd w:val="clear" w:color="auto" w:fill="auto"/>
            <w:hideMark/>
          </w:tcPr>
          <w:p w:rsidR="00CB3AC6" w:rsidRPr="00EC2B9D" w:rsidRDefault="00CB3AC6" w:rsidP="00EC2B9D">
            <w:pPr>
              <w:spacing w:after="0" w:line="240" w:lineRule="auto"/>
              <w:jc w:val="both"/>
              <w:rPr>
                <w:rFonts w:eastAsia="Times New Roman" w:cstheme="minorHAnsi"/>
                <w:color w:val="000000"/>
                <w:sz w:val="16"/>
                <w:szCs w:val="16"/>
                <w:lang w:val="en-GB"/>
              </w:rPr>
            </w:pPr>
            <w:r w:rsidRPr="00EC2B9D">
              <w:rPr>
                <w:rFonts w:eastAsia="Times New Roman" w:cstheme="minorHAnsi"/>
                <w:color w:val="000000"/>
                <w:sz w:val="16"/>
                <w:szCs w:val="16"/>
                <w:lang w:val="en-GB"/>
              </w:rPr>
              <w:t>Directive 2014/32/EU of the European Parliament and of the Council of 26 February 2014 on the harmonisation of the laws of the Member States relating to the making available on the market of measuring instruments</w:t>
            </w:r>
          </w:p>
        </w:tc>
        <w:tc>
          <w:tcPr>
            <w:tcW w:w="92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242"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2022</w:t>
            </w:r>
          </w:p>
        </w:tc>
        <w:tc>
          <w:tcPr>
            <w:tcW w:w="998"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p>
        </w:tc>
        <w:tc>
          <w:tcPr>
            <w:tcW w:w="10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78"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46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94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13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55"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00" w:type="dxa"/>
            <w:shd w:val="clear" w:color="000000" w:fill="FFFFFF"/>
          </w:tcPr>
          <w:p w:rsidR="00CB3AC6" w:rsidRPr="00E05DE4" w:rsidRDefault="00CB3AC6" w:rsidP="00CB3AC6">
            <w:pPr>
              <w:spacing w:after="0" w:line="240" w:lineRule="auto"/>
              <w:rPr>
                <w:rFonts w:eastAsia="Times New Roman" w:cstheme="minorHAnsi"/>
                <w:sz w:val="16"/>
                <w:szCs w:val="16"/>
                <w:lang w:val="en-GB"/>
              </w:rPr>
            </w:pPr>
          </w:p>
        </w:tc>
      </w:tr>
      <w:tr w:rsidR="00CB3AC6" w:rsidRPr="00E05DE4" w:rsidTr="00EC2B9D">
        <w:trPr>
          <w:trHeight w:val="1116"/>
        </w:trPr>
        <w:tc>
          <w:tcPr>
            <w:tcW w:w="1977" w:type="dxa"/>
            <w:shd w:val="clear" w:color="auto" w:fill="auto"/>
            <w:hideMark/>
          </w:tcPr>
          <w:p w:rsidR="00CB3AC6" w:rsidRPr="00EC2B9D" w:rsidRDefault="00CB3AC6" w:rsidP="00EC2B9D">
            <w:pPr>
              <w:spacing w:after="0" w:line="240" w:lineRule="auto"/>
              <w:jc w:val="both"/>
              <w:rPr>
                <w:rFonts w:eastAsia="Times New Roman" w:cstheme="minorHAnsi"/>
                <w:color w:val="000000"/>
                <w:sz w:val="16"/>
                <w:szCs w:val="16"/>
                <w:lang w:val="en-GB"/>
              </w:rPr>
            </w:pPr>
            <w:r w:rsidRPr="00EC2B9D">
              <w:rPr>
                <w:rFonts w:eastAsia="Times New Roman" w:cstheme="minorHAnsi"/>
                <w:color w:val="000000"/>
                <w:sz w:val="16"/>
                <w:szCs w:val="16"/>
                <w:lang w:val="en-GB"/>
              </w:rPr>
              <w:lastRenderedPageBreak/>
              <w:t>Decision No 768/2008/EC of the European Parliament and of the Council of 9 July 2008 on a common framework for the marketing of products</w:t>
            </w:r>
          </w:p>
        </w:tc>
        <w:tc>
          <w:tcPr>
            <w:tcW w:w="92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242"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N/A</w:t>
            </w:r>
          </w:p>
        </w:tc>
        <w:tc>
          <w:tcPr>
            <w:tcW w:w="998"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p>
        </w:tc>
        <w:tc>
          <w:tcPr>
            <w:tcW w:w="10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78"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46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94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13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55"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00" w:type="dxa"/>
            <w:shd w:val="clear" w:color="000000" w:fill="FFFFFF"/>
          </w:tcPr>
          <w:p w:rsidR="00CB3AC6" w:rsidRPr="00E05DE4" w:rsidRDefault="00CB3AC6" w:rsidP="00CB3AC6">
            <w:pPr>
              <w:spacing w:after="0" w:line="240" w:lineRule="auto"/>
              <w:rPr>
                <w:rFonts w:eastAsia="Times New Roman" w:cstheme="minorHAnsi"/>
                <w:sz w:val="16"/>
                <w:szCs w:val="16"/>
                <w:lang w:val="en-GB"/>
              </w:rPr>
            </w:pPr>
          </w:p>
        </w:tc>
      </w:tr>
      <w:tr w:rsidR="00CB3AC6" w:rsidRPr="00E05DE4" w:rsidTr="00EC2B9D">
        <w:trPr>
          <w:trHeight w:val="2016"/>
        </w:trPr>
        <w:tc>
          <w:tcPr>
            <w:tcW w:w="1977" w:type="dxa"/>
            <w:shd w:val="clear" w:color="auto" w:fill="auto"/>
            <w:hideMark/>
          </w:tcPr>
          <w:p w:rsidR="00CB3AC6" w:rsidRPr="00EC2B9D" w:rsidRDefault="00CB3AC6" w:rsidP="00EC2B9D">
            <w:pPr>
              <w:spacing w:after="0" w:line="240" w:lineRule="auto"/>
              <w:jc w:val="both"/>
              <w:rPr>
                <w:rFonts w:eastAsia="Times New Roman" w:cstheme="minorHAnsi"/>
                <w:color w:val="000000"/>
                <w:sz w:val="16"/>
                <w:szCs w:val="16"/>
                <w:lang w:val="en-GB"/>
              </w:rPr>
            </w:pPr>
            <w:r w:rsidRPr="00EC2B9D">
              <w:rPr>
                <w:rFonts w:eastAsia="Times New Roman" w:cstheme="minorHAnsi"/>
                <w:color w:val="000000"/>
                <w:sz w:val="16"/>
                <w:szCs w:val="16"/>
                <w:lang w:val="en-GB"/>
              </w:rPr>
              <w:t>Regulation (EC) No 765/2008 of the European Parliament and of the Council of 9 July 2008 setting out the requirements for accreditation and market surveillance relating to the marketing of products</w:t>
            </w:r>
          </w:p>
        </w:tc>
        <w:tc>
          <w:tcPr>
            <w:tcW w:w="92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242" w:type="dxa"/>
            <w:shd w:val="clear" w:color="000000" w:fill="FFFFFF"/>
            <w:noWrap/>
            <w:vAlign w:val="bottom"/>
            <w:hideMark/>
          </w:tcPr>
          <w:p w:rsidR="00CB3AC6" w:rsidRPr="00E05DE4" w:rsidRDefault="00CB3AC6" w:rsidP="005A4E27">
            <w:pPr>
              <w:spacing w:after="0" w:line="240" w:lineRule="auto"/>
              <w:jc w:val="center"/>
              <w:rPr>
                <w:rFonts w:eastAsia="Times New Roman" w:cstheme="minorHAnsi"/>
                <w:sz w:val="16"/>
                <w:szCs w:val="16"/>
                <w:lang w:val="en-GB"/>
              </w:rPr>
            </w:pPr>
          </w:p>
        </w:tc>
        <w:tc>
          <w:tcPr>
            <w:tcW w:w="998"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p>
        </w:tc>
        <w:tc>
          <w:tcPr>
            <w:tcW w:w="10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78"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46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94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13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55"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00" w:type="dxa"/>
            <w:shd w:val="clear" w:color="000000" w:fill="FFFFFF"/>
          </w:tcPr>
          <w:p w:rsidR="00CB3AC6" w:rsidRPr="00E05DE4" w:rsidRDefault="00CB3AC6" w:rsidP="00CB3AC6">
            <w:pPr>
              <w:spacing w:after="0" w:line="240" w:lineRule="auto"/>
              <w:rPr>
                <w:rFonts w:eastAsia="Times New Roman" w:cstheme="minorHAnsi"/>
                <w:sz w:val="16"/>
                <w:szCs w:val="16"/>
                <w:lang w:val="en-GB"/>
              </w:rPr>
            </w:pPr>
          </w:p>
        </w:tc>
      </w:tr>
      <w:tr w:rsidR="00CB3AC6" w:rsidRPr="00E05DE4" w:rsidTr="00EC2B9D">
        <w:trPr>
          <w:trHeight w:val="2628"/>
        </w:trPr>
        <w:tc>
          <w:tcPr>
            <w:tcW w:w="1977" w:type="dxa"/>
            <w:shd w:val="clear" w:color="auto" w:fill="auto"/>
            <w:hideMark/>
          </w:tcPr>
          <w:p w:rsidR="00CB3AC6" w:rsidRPr="00EC2B9D" w:rsidRDefault="00CB3AC6" w:rsidP="00EC2B9D">
            <w:pPr>
              <w:spacing w:after="0" w:line="240" w:lineRule="auto"/>
              <w:jc w:val="both"/>
              <w:rPr>
                <w:rFonts w:eastAsia="Times New Roman" w:cstheme="minorHAnsi"/>
                <w:color w:val="000000"/>
                <w:sz w:val="16"/>
                <w:szCs w:val="16"/>
                <w:lang w:val="en-GB"/>
              </w:rPr>
            </w:pPr>
            <w:r w:rsidRPr="00EC2B9D">
              <w:rPr>
                <w:rFonts w:eastAsia="Times New Roman" w:cstheme="minorHAnsi"/>
                <w:color w:val="000000"/>
                <w:sz w:val="16"/>
                <w:szCs w:val="16"/>
                <w:lang w:val="en-GB"/>
              </w:rPr>
              <w:t>Directive 2001/95/EC of the European Parliament and of the Council of 3 December 2001 on general product safety</w:t>
            </w:r>
          </w:p>
        </w:tc>
        <w:tc>
          <w:tcPr>
            <w:tcW w:w="92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242"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N/A</w:t>
            </w:r>
          </w:p>
        </w:tc>
        <w:tc>
          <w:tcPr>
            <w:tcW w:w="998"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p>
        </w:tc>
        <w:tc>
          <w:tcPr>
            <w:tcW w:w="10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78"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46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94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13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55" w:type="dxa"/>
            <w:shd w:val="clear" w:color="auto" w:fill="auto"/>
            <w:vAlign w:val="center"/>
            <w:hideMark/>
          </w:tcPr>
          <w:p w:rsidR="00CB3AC6" w:rsidRPr="00E05DE4" w:rsidRDefault="00CB3AC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Is guided by the horizontal ‘principles and practice laid down in relevant Union </w:t>
            </w:r>
            <w:r w:rsidRPr="00E05DE4">
              <w:rPr>
                <w:rFonts w:eastAsia="Times New Roman" w:cstheme="minorHAnsi"/>
                <w:i/>
                <w:iCs/>
                <w:color w:val="444444"/>
                <w:sz w:val="16"/>
                <w:szCs w:val="16"/>
                <w:lang w:val="en-GB"/>
              </w:rPr>
              <w:t>acquis</w:t>
            </w:r>
            <w:r w:rsidRPr="00E05DE4">
              <w:rPr>
                <w:rFonts w:eastAsia="Times New Roman" w:cstheme="minorHAnsi"/>
                <w:color w:val="444444"/>
                <w:sz w:val="16"/>
                <w:szCs w:val="16"/>
                <w:lang w:val="en-GB"/>
              </w:rPr>
              <w:t>’ referred to in Article 47(1) of AA. It aims to serve as a non-exhaustive guidance for Georgia for the purpose of approximation of horizontal measures of the Union.</w:t>
            </w:r>
          </w:p>
        </w:tc>
        <w:tc>
          <w:tcPr>
            <w:tcW w:w="1800" w:type="dxa"/>
          </w:tcPr>
          <w:p w:rsidR="00CB3AC6" w:rsidRPr="00E05DE4" w:rsidRDefault="00CB3AC6" w:rsidP="00CB3AC6">
            <w:pPr>
              <w:spacing w:after="0" w:line="240" w:lineRule="auto"/>
              <w:rPr>
                <w:rFonts w:eastAsia="Times New Roman" w:cstheme="minorHAnsi"/>
                <w:color w:val="000000"/>
                <w:sz w:val="16"/>
                <w:szCs w:val="16"/>
                <w:lang w:val="en-GB"/>
              </w:rPr>
            </w:pPr>
          </w:p>
        </w:tc>
      </w:tr>
      <w:tr w:rsidR="00CB3AC6" w:rsidRPr="00E05DE4" w:rsidTr="00EC2B9D">
        <w:trPr>
          <w:trHeight w:val="2316"/>
        </w:trPr>
        <w:tc>
          <w:tcPr>
            <w:tcW w:w="1977" w:type="dxa"/>
            <w:shd w:val="clear" w:color="auto" w:fill="auto"/>
            <w:hideMark/>
          </w:tcPr>
          <w:p w:rsidR="00CB3AC6" w:rsidRPr="00EC2B9D" w:rsidRDefault="00CB3AC6" w:rsidP="00EC2B9D">
            <w:pPr>
              <w:spacing w:after="0" w:line="240" w:lineRule="auto"/>
              <w:jc w:val="both"/>
              <w:rPr>
                <w:rFonts w:eastAsia="Times New Roman" w:cstheme="minorHAnsi"/>
                <w:color w:val="000000"/>
                <w:sz w:val="16"/>
                <w:szCs w:val="16"/>
                <w:lang w:val="en-GB"/>
              </w:rPr>
            </w:pPr>
            <w:r w:rsidRPr="00EC2B9D">
              <w:rPr>
                <w:rFonts w:eastAsia="Times New Roman" w:cstheme="minorHAnsi"/>
                <w:color w:val="000000"/>
                <w:sz w:val="16"/>
                <w:szCs w:val="16"/>
                <w:lang w:val="en-GB"/>
              </w:rPr>
              <w:t>Council Directive 80/181/EEC of 20 December 1979 on the approximation of the laws of the Member States relating to units of measurement</w:t>
            </w:r>
          </w:p>
        </w:tc>
        <w:tc>
          <w:tcPr>
            <w:tcW w:w="92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242"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N/A</w:t>
            </w:r>
          </w:p>
        </w:tc>
        <w:tc>
          <w:tcPr>
            <w:tcW w:w="998"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p>
        </w:tc>
        <w:tc>
          <w:tcPr>
            <w:tcW w:w="10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78"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46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94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13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55" w:type="dxa"/>
            <w:shd w:val="clear" w:color="auto" w:fill="auto"/>
            <w:vAlign w:val="center"/>
            <w:hideMark/>
          </w:tcPr>
          <w:p w:rsidR="00CB3AC6" w:rsidRPr="00E05DE4" w:rsidRDefault="00CB3AC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Is guided by the horizontal ‘principles and practice laid down in relevant Union </w:t>
            </w:r>
            <w:r w:rsidRPr="00E05DE4">
              <w:rPr>
                <w:rFonts w:eastAsia="Times New Roman" w:cstheme="minorHAnsi"/>
                <w:i/>
                <w:iCs/>
                <w:color w:val="444444"/>
                <w:sz w:val="16"/>
                <w:szCs w:val="16"/>
                <w:lang w:val="en-GB"/>
              </w:rPr>
              <w:t>acquis</w:t>
            </w:r>
            <w:r w:rsidRPr="00E05DE4">
              <w:rPr>
                <w:rFonts w:eastAsia="Times New Roman" w:cstheme="minorHAnsi"/>
                <w:color w:val="444444"/>
                <w:sz w:val="16"/>
                <w:szCs w:val="16"/>
                <w:lang w:val="en-GB"/>
              </w:rPr>
              <w:t>’ referred to in Article 47(1) of AA. It aims to serve as a non-exhaustive guidance for Georgia for the purpose of approximation of horizontal measures of the Union.</w:t>
            </w:r>
          </w:p>
        </w:tc>
        <w:tc>
          <w:tcPr>
            <w:tcW w:w="1800" w:type="dxa"/>
          </w:tcPr>
          <w:p w:rsidR="00CB3AC6" w:rsidRPr="00E05DE4" w:rsidRDefault="00CB3AC6" w:rsidP="00CB3AC6">
            <w:pPr>
              <w:spacing w:after="0" w:line="240" w:lineRule="auto"/>
              <w:rPr>
                <w:rFonts w:eastAsia="Times New Roman" w:cstheme="minorHAnsi"/>
                <w:color w:val="000000"/>
                <w:sz w:val="16"/>
                <w:szCs w:val="16"/>
                <w:lang w:val="en-GB"/>
              </w:rPr>
            </w:pPr>
          </w:p>
        </w:tc>
      </w:tr>
      <w:tr w:rsidR="00CB3AC6" w:rsidRPr="00E05DE4" w:rsidTr="00EC2B9D">
        <w:trPr>
          <w:trHeight w:val="3660"/>
        </w:trPr>
        <w:tc>
          <w:tcPr>
            <w:tcW w:w="1977" w:type="dxa"/>
            <w:shd w:val="clear" w:color="auto" w:fill="auto"/>
            <w:hideMark/>
          </w:tcPr>
          <w:p w:rsidR="00CB3AC6" w:rsidRPr="00EC2B9D" w:rsidRDefault="00CB3AC6" w:rsidP="00EC2B9D">
            <w:pPr>
              <w:spacing w:after="0" w:line="240" w:lineRule="auto"/>
              <w:jc w:val="both"/>
              <w:rPr>
                <w:rFonts w:eastAsia="Times New Roman" w:cstheme="minorHAnsi"/>
                <w:color w:val="000000"/>
                <w:sz w:val="16"/>
                <w:szCs w:val="16"/>
                <w:lang w:val="en-GB"/>
              </w:rPr>
            </w:pPr>
            <w:r w:rsidRPr="00EC2B9D">
              <w:rPr>
                <w:rFonts w:eastAsia="Times New Roman" w:cstheme="minorHAnsi"/>
                <w:color w:val="000000"/>
                <w:sz w:val="16"/>
                <w:szCs w:val="16"/>
                <w:lang w:val="en-GB"/>
              </w:rPr>
              <w:lastRenderedPageBreak/>
              <w:t>Regulation (EU) No 1025/2012 of the European Parliament and of the Council of 25 October 2012 on European standardisation, amending Council Directives 89/686/EEC and 93/15/EEC and Directives 94/9/EC, 94/25/EC, 95/16/EC, 97/23/EC, 98/34/EC, 2004/22/EC, 2007/23/EC, 2009/23/EC and 2009/105/EC of the European Parliament and of the Council and repealing Council Decision 87/95/EEC and Decision No 1673/2006/EC of the European Parliament and of the Council</w:t>
            </w:r>
          </w:p>
        </w:tc>
        <w:tc>
          <w:tcPr>
            <w:tcW w:w="92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p>
        </w:tc>
        <w:tc>
          <w:tcPr>
            <w:tcW w:w="1242"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N/A</w:t>
            </w:r>
          </w:p>
        </w:tc>
        <w:tc>
          <w:tcPr>
            <w:tcW w:w="998"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p>
        </w:tc>
        <w:tc>
          <w:tcPr>
            <w:tcW w:w="10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78"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46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94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13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55" w:type="dxa"/>
            <w:shd w:val="clear" w:color="auto" w:fill="auto"/>
            <w:hideMark/>
          </w:tcPr>
          <w:p w:rsidR="00CB3AC6" w:rsidRPr="00E05DE4" w:rsidRDefault="00CB3AC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Is guided by the horizontal ‘principles and practice laid down in relevant Union </w:t>
            </w:r>
            <w:r w:rsidRPr="00E05DE4">
              <w:rPr>
                <w:rFonts w:eastAsia="Times New Roman" w:cstheme="minorHAnsi"/>
                <w:i/>
                <w:iCs/>
                <w:color w:val="444444"/>
                <w:sz w:val="16"/>
                <w:szCs w:val="16"/>
                <w:lang w:val="en-GB"/>
              </w:rPr>
              <w:t>acquis</w:t>
            </w:r>
            <w:r w:rsidRPr="00E05DE4">
              <w:rPr>
                <w:rFonts w:eastAsia="Times New Roman" w:cstheme="minorHAnsi"/>
                <w:color w:val="444444"/>
                <w:sz w:val="16"/>
                <w:szCs w:val="16"/>
                <w:lang w:val="en-GB"/>
              </w:rPr>
              <w:t>’ referred to in Article 47(1) of AA. It aims to serve as a non-exhaustive guidance for Georgia for the purpose of approximation of horizontal measures of the Union.</w:t>
            </w:r>
          </w:p>
        </w:tc>
        <w:tc>
          <w:tcPr>
            <w:tcW w:w="1800" w:type="dxa"/>
          </w:tcPr>
          <w:p w:rsidR="00CB3AC6" w:rsidRPr="00E05DE4" w:rsidRDefault="00CB3AC6" w:rsidP="00CB3AC6">
            <w:pPr>
              <w:spacing w:after="0" w:line="240" w:lineRule="auto"/>
              <w:rPr>
                <w:rFonts w:eastAsia="Times New Roman" w:cstheme="minorHAnsi"/>
                <w:color w:val="000000"/>
                <w:sz w:val="16"/>
                <w:szCs w:val="16"/>
                <w:lang w:val="en-GB"/>
              </w:rPr>
            </w:pPr>
          </w:p>
        </w:tc>
      </w:tr>
      <w:tr w:rsidR="00CB3AC6" w:rsidRPr="00E05DE4" w:rsidTr="00EC2B9D">
        <w:trPr>
          <w:trHeight w:val="2436"/>
        </w:trPr>
        <w:tc>
          <w:tcPr>
            <w:tcW w:w="1977" w:type="dxa"/>
            <w:shd w:val="clear" w:color="auto" w:fill="auto"/>
            <w:hideMark/>
          </w:tcPr>
          <w:p w:rsidR="00CB3AC6" w:rsidRPr="00EC2B9D" w:rsidRDefault="00CB3AC6" w:rsidP="00EC2B9D">
            <w:pPr>
              <w:spacing w:after="0" w:line="240" w:lineRule="auto"/>
              <w:jc w:val="both"/>
              <w:rPr>
                <w:rFonts w:eastAsia="Times New Roman" w:cstheme="minorHAnsi"/>
                <w:color w:val="000000"/>
                <w:sz w:val="16"/>
                <w:szCs w:val="16"/>
                <w:lang w:val="en-GB"/>
              </w:rPr>
            </w:pPr>
            <w:r w:rsidRPr="00EC2B9D">
              <w:rPr>
                <w:rFonts w:eastAsia="Times New Roman" w:cstheme="minorHAnsi"/>
                <w:color w:val="000000"/>
                <w:sz w:val="16"/>
                <w:szCs w:val="16"/>
                <w:lang w:val="en-GB"/>
              </w:rPr>
              <w:t>Council Directive 85/374/EEC of 25 July 1985 on the approximation of the laws, regulations and administrative provisions of the Member States concerning liability for defective products</w:t>
            </w:r>
          </w:p>
        </w:tc>
        <w:tc>
          <w:tcPr>
            <w:tcW w:w="92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242"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r w:rsidRPr="00E05DE4">
              <w:rPr>
                <w:rFonts w:eastAsia="Times New Roman" w:cstheme="minorHAnsi"/>
                <w:color w:val="000000"/>
                <w:sz w:val="16"/>
                <w:szCs w:val="16"/>
                <w:lang w:val="en-GB"/>
              </w:rPr>
              <w:t>N/A</w:t>
            </w:r>
          </w:p>
        </w:tc>
        <w:tc>
          <w:tcPr>
            <w:tcW w:w="998" w:type="dxa"/>
            <w:shd w:val="clear" w:color="auto" w:fill="auto"/>
            <w:vAlign w:val="center"/>
            <w:hideMark/>
          </w:tcPr>
          <w:p w:rsidR="00CB3AC6" w:rsidRPr="00E05DE4" w:rsidRDefault="00CB3AC6" w:rsidP="005A4E27">
            <w:pPr>
              <w:spacing w:after="0" w:line="240" w:lineRule="auto"/>
              <w:jc w:val="center"/>
              <w:rPr>
                <w:rFonts w:eastAsia="Times New Roman" w:cstheme="minorHAnsi"/>
                <w:color w:val="000000"/>
                <w:sz w:val="16"/>
                <w:szCs w:val="16"/>
                <w:lang w:val="en-GB"/>
              </w:rPr>
            </w:pPr>
          </w:p>
        </w:tc>
        <w:tc>
          <w:tcPr>
            <w:tcW w:w="10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678"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530"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46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944"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131" w:type="dxa"/>
            <w:shd w:val="clear" w:color="000000" w:fill="FFFFFF"/>
            <w:noWrap/>
            <w:vAlign w:val="bottom"/>
            <w:hideMark/>
          </w:tcPr>
          <w:p w:rsidR="00CB3AC6" w:rsidRPr="00E05DE4" w:rsidRDefault="00CB3AC6" w:rsidP="00CB3AC6">
            <w:pPr>
              <w:spacing w:after="0" w:line="240" w:lineRule="auto"/>
              <w:rPr>
                <w:rFonts w:eastAsia="Times New Roman" w:cstheme="minorHAnsi"/>
                <w:sz w:val="16"/>
                <w:szCs w:val="16"/>
                <w:lang w:val="en-GB"/>
              </w:rPr>
            </w:pPr>
            <w:r w:rsidRPr="00E05DE4">
              <w:rPr>
                <w:rFonts w:eastAsia="Times New Roman" w:cstheme="minorHAnsi"/>
                <w:sz w:val="16"/>
                <w:szCs w:val="16"/>
                <w:lang w:val="en-GB"/>
              </w:rPr>
              <w:t> </w:t>
            </w:r>
          </w:p>
        </w:tc>
        <w:tc>
          <w:tcPr>
            <w:tcW w:w="1855" w:type="dxa"/>
            <w:shd w:val="clear" w:color="auto" w:fill="auto"/>
            <w:vAlign w:val="center"/>
            <w:hideMark/>
          </w:tcPr>
          <w:p w:rsidR="00CB3AC6" w:rsidRPr="00E05DE4" w:rsidRDefault="00CB3AC6" w:rsidP="005A4E27">
            <w:pPr>
              <w:spacing w:after="0" w:line="240" w:lineRule="auto"/>
              <w:jc w:val="both"/>
              <w:rPr>
                <w:rFonts w:eastAsia="Times New Roman" w:cstheme="minorHAnsi"/>
                <w:color w:val="000000"/>
                <w:sz w:val="16"/>
                <w:szCs w:val="16"/>
                <w:lang w:val="en-GB"/>
              </w:rPr>
            </w:pPr>
            <w:r w:rsidRPr="00E05DE4">
              <w:rPr>
                <w:rFonts w:eastAsia="Times New Roman" w:cstheme="minorHAnsi"/>
                <w:color w:val="000000"/>
                <w:sz w:val="16"/>
                <w:szCs w:val="16"/>
                <w:lang w:val="en-GB"/>
              </w:rPr>
              <w:t>Is guided by the horizontal ‘principles and practice laid down in relevant Union </w:t>
            </w:r>
            <w:r w:rsidRPr="00E05DE4">
              <w:rPr>
                <w:rFonts w:eastAsia="Times New Roman" w:cstheme="minorHAnsi"/>
                <w:i/>
                <w:iCs/>
                <w:color w:val="444444"/>
                <w:sz w:val="16"/>
                <w:szCs w:val="16"/>
                <w:lang w:val="en-GB"/>
              </w:rPr>
              <w:t>acquis</w:t>
            </w:r>
            <w:r w:rsidRPr="00E05DE4">
              <w:rPr>
                <w:rFonts w:eastAsia="Times New Roman" w:cstheme="minorHAnsi"/>
                <w:color w:val="444444"/>
                <w:sz w:val="16"/>
                <w:szCs w:val="16"/>
                <w:lang w:val="en-GB"/>
              </w:rPr>
              <w:t>’ referred to in Article 47(1) of AA. It aims to serve as a non-exhaustive guidance for Georgia for the purpose of approximation of horizontal measures of the Union.</w:t>
            </w:r>
          </w:p>
        </w:tc>
        <w:tc>
          <w:tcPr>
            <w:tcW w:w="1800" w:type="dxa"/>
          </w:tcPr>
          <w:p w:rsidR="00CB3AC6" w:rsidRPr="00E05DE4" w:rsidRDefault="00CB3AC6" w:rsidP="00CB3AC6">
            <w:pPr>
              <w:spacing w:after="0" w:line="240" w:lineRule="auto"/>
              <w:rPr>
                <w:rFonts w:eastAsia="Times New Roman" w:cstheme="minorHAnsi"/>
                <w:color w:val="000000"/>
                <w:sz w:val="16"/>
                <w:szCs w:val="16"/>
                <w:lang w:val="en-GB"/>
              </w:rPr>
            </w:pPr>
          </w:p>
        </w:tc>
      </w:tr>
    </w:tbl>
    <w:p w:rsidR="00CB3AC6" w:rsidRPr="00E05DE4" w:rsidRDefault="00CB3AC6">
      <w:pPr>
        <w:rPr>
          <w:rFonts w:cstheme="minorHAnsi"/>
          <w:sz w:val="16"/>
          <w:szCs w:val="16"/>
          <w:lang w:val="en-GB"/>
        </w:rPr>
      </w:pPr>
    </w:p>
    <w:sectPr w:rsidR="00CB3AC6" w:rsidRPr="00E05DE4" w:rsidSect="00F07528">
      <w:footerReference w:type="default" r:id="rId8"/>
      <w:pgSz w:w="15840" w:h="12240" w:orient="landscape"/>
      <w:pgMar w:top="36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374" w:rsidRDefault="00B17374" w:rsidP="00524E3E">
      <w:pPr>
        <w:spacing w:after="0" w:line="240" w:lineRule="auto"/>
      </w:pPr>
      <w:r>
        <w:separator/>
      </w:r>
    </w:p>
  </w:endnote>
  <w:endnote w:type="continuationSeparator" w:id="0">
    <w:p w:rsidR="00B17374" w:rsidRDefault="00B17374" w:rsidP="0052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885985"/>
      <w:docPartObj>
        <w:docPartGallery w:val="Page Numbers (Bottom of Page)"/>
        <w:docPartUnique/>
      </w:docPartObj>
    </w:sdtPr>
    <w:sdtEndPr>
      <w:rPr>
        <w:noProof/>
      </w:rPr>
    </w:sdtEndPr>
    <w:sdtContent>
      <w:p w:rsidR="004D4135" w:rsidRDefault="004D4135">
        <w:pPr>
          <w:pStyle w:val="Footer"/>
          <w:jc w:val="right"/>
        </w:pPr>
        <w:r>
          <w:fldChar w:fldCharType="begin"/>
        </w:r>
        <w:r>
          <w:instrText xml:space="preserve"> PAGE   \* MERGEFORMAT </w:instrText>
        </w:r>
        <w:r>
          <w:fldChar w:fldCharType="separate"/>
        </w:r>
        <w:r w:rsidR="00A92D7D">
          <w:rPr>
            <w:noProof/>
          </w:rPr>
          <w:t>1</w:t>
        </w:r>
        <w:r>
          <w:rPr>
            <w:noProof/>
          </w:rPr>
          <w:fldChar w:fldCharType="end"/>
        </w:r>
      </w:p>
    </w:sdtContent>
  </w:sdt>
  <w:p w:rsidR="004D4135" w:rsidRDefault="004D41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374" w:rsidRDefault="00B17374" w:rsidP="00524E3E">
      <w:pPr>
        <w:spacing w:after="0" w:line="240" w:lineRule="auto"/>
      </w:pPr>
      <w:r>
        <w:separator/>
      </w:r>
    </w:p>
  </w:footnote>
  <w:footnote w:type="continuationSeparator" w:id="0">
    <w:p w:rsidR="00B17374" w:rsidRDefault="00B17374" w:rsidP="00524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328D5"/>
    <w:multiLevelType w:val="hybridMultilevel"/>
    <w:tmpl w:val="8042F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3B"/>
    <w:rsid w:val="000A1D97"/>
    <w:rsid w:val="000D7DA4"/>
    <w:rsid w:val="000F0B75"/>
    <w:rsid w:val="001E06C1"/>
    <w:rsid w:val="00237748"/>
    <w:rsid w:val="002559ED"/>
    <w:rsid w:val="00382D6C"/>
    <w:rsid w:val="00484742"/>
    <w:rsid w:val="004D4135"/>
    <w:rsid w:val="00524E3E"/>
    <w:rsid w:val="00576281"/>
    <w:rsid w:val="005A4E27"/>
    <w:rsid w:val="005B4479"/>
    <w:rsid w:val="005C6CD9"/>
    <w:rsid w:val="00620F86"/>
    <w:rsid w:val="00663D81"/>
    <w:rsid w:val="0070132B"/>
    <w:rsid w:val="007217E8"/>
    <w:rsid w:val="00810D1A"/>
    <w:rsid w:val="008B233B"/>
    <w:rsid w:val="009F752B"/>
    <w:rsid w:val="00A74E98"/>
    <w:rsid w:val="00A92D7D"/>
    <w:rsid w:val="00A93026"/>
    <w:rsid w:val="00B02530"/>
    <w:rsid w:val="00B17374"/>
    <w:rsid w:val="00C819CB"/>
    <w:rsid w:val="00CA4192"/>
    <w:rsid w:val="00CB3AC6"/>
    <w:rsid w:val="00DB0011"/>
    <w:rsid w:val="00E05DE4"/>
    <w:rsid w:val="00E311E7"/>
    <w:rsid w:val="00EC2B9D"/>
    <w:rsid w:val="00F0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B6CF"/>
  <w15:chartTrackingRefBased/>
  <w15:docId w15:val="{423334FD-F919-46ED-9290-96A51C95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0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4E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E3E"/>
    <w:rPr>
      <w:sz w:val="20"/>
      <w:szCs w:val="20"/>
    </w:rPr>
  </w:style>
  <w:style w:type="character" w:styleId="FootnoteReference">
    <w:name w:val="footnote reference"/>
    <w:basedOn w:val="DefaultParagraphFont"/>
    <w:uiPriority w:val="99"/>
    <w:semiHidden/>
    <w:unhideWhenUsed/>
    <w:rsid w:val="00524E3E"/>
    <w:rPr>
      <w:vertAlign w:val="superscript"/>
    </w:rPr>
  </w:style>
  <w:style w:type="paragraph" w:styleId="ListParagraph">
    <w:name w:val="List Paragraph"/>
    <w:basedOn w:val="Normal"/>
    <w:uiPriority w:val="34"/>
    <w:qFormat/>
    <w:rsid w:val="00EC2B9D"/>
    <w:pPr>
      <w:ind w:left="720"/>
      <w:contextualSpacing/>
    </w:pPr>
  </w:style>
  <w:style w:type="paragraph" w:styleId="Header">
    <w:name w:val="header"/>
    <w:basedOn w:val="Normal"/>
    <w:link w:val="HeaderChar"/>
    <w:uiPriority w:val="99"/>
    <w:unhideWhenUsed/>
    <w:rsid w:val="004D4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135"/>
  </w:style>
  <w:style w:type="paragraph" w:styleId="Footer">
    <w:name w:val="footer"/>
    <w:basedOn w:val="Normal"/>
    <w:link w:val="FooterChar"/>
    <w:uiPriority w:val="99"/>
    <w:unhideWhenUsed/>
    <w:rsid w:val="004D4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28325">
      <w:bodyDiv w:val="1"/>
      <w:marLeft w:val="0"/>
      <w:marRight w:val="0"/>
      <w:marTop w:val="0"/>
      <w:marBottom w:val="0"/>
      <w:divBdr>
        <w:top w:val="none" w:sz="0" w:space="0" w:color="auto"/>
        <w:left w:val="none" w:sz="0" w:space="0" w:color="auto"/>
        <w:bottom w:val="none" w:sz="0" w:space="0" w:color="auto"/>
        <w:right w:val="none" w:sz="0" w:space="0" w:color="auto"/>
      </w:divBdr>
    </w:div>
    <w:div w:id="162749012">
      <w:bodyDiv w:val="1"/>
      <w:marLeft w:val="0"/>
      <w:marRight w:val="0"/>
      <w:marTop w:val="0"/>
      <w:marBottom w:val="0"/>
      <w:divBdr>
        <w:top w:val="none" w:sz="0" w:space="0" w:color="auto"/>
        <w:left w:val="none" w:sz="0" w:space="0" w:color="auto"/>
        <w:bottom w:val="none" w:sz="0" w:space="0" w:color="auto"/>
        <w:right w:val="none" w:sz="0" w:space="0" w:color="auto"/>
      </w:divBdr>
    </w:div>
    <w:div w:id="285740474">
      <w:bodyDiv w:val="1"/>
      <w:marLeft w:val="0"/>
      <w:marRight w:val="0"/>
      <w:marTop w:val="0"/>
      <w:marBottom w:val="0"/>
      <w:divBdr>
        <w:top w:val="none" w:sz="0" w:space="0" w:color="auto"/>
        <w:left w:val="none" w:sz="0" w:space="0" w:color="auto"/>
        <w:bottom w:val="none" w:sz="0" w:space="0" w:color="auto"/>
        <w:right w:val="none" w:sz="0" w:space="0" w:color="auto"/>
      </w:divBdr>
    </w:div>
    <w:div w:id="371544152">
      <w:bodyDiv w:val="1"/>
      <w:marLeft w:val="0"/>
      <w:marRight w:val="0"/>
      <w:marTop w:val="0"/>
      <w:marBottom w:val="0"/>
      <w:divBdr>
        <w:top w:val="none" w:sz="0" w:space="0" w:color="auto"/>
        <w:left w:val="none" w:sz="0" w:space="0" w:color="auto"/>
        <w:bottom w:val="none" w:sz="0" w:space="0" w:color="auto"/>
        <w:right w:val="none" w:sz="0" w:space="0" w:color="auto"/>
      </w:divBdr>
    </w:div>
    <w:div w:id="563099921">
      <w:bodyDiv w:val="1"/>
      <w:marLeft w:val="0"/>
      <w:marRight w:val="0"/>
      <w:marTop w:val="0"/>
      <w:marBottom w:val="0"/>
      <w:divBdr>
        <w:top w:val="none" w:sz="0" w:space="0" w:color="auto"/>
        <w:left w:val="none" w:sz="0" w:space="0" w:color="auto"/>
        <w:bottom w:val="none" w:sz="0" w:space="0" w:color="auto"/>
        <w:right w:val="none" w:sz="0" w:space="0" w:color="auto"/>
      </w:divBdr>
    </w:div>
    <w:div w:id="651564578">
      <w:bodyDiv w:val="1"/>
      <w:marLeft w:val="0"/>
      <w:marRight w:val="0"/>
      <w:marTop w:val="0"/>
      <w:marBottom w:val="0"/>
      <w:divBdr>
        <w:top w:val="none" w:sz="0" w:space="0" w:color="auto"/>
        <w:left w:val="none" w:sz="0" w:space="0" w:color="auto"/>
        <w:bottom w:val="none" w:sz="0" w:space="0" w:color="auto"/>
        <w:right w:val="none" w:sz="0" w:space="0" w:color="auto"/>
      </w:divBdr>
    </w:div>
    <w:div w:id="669286344">
      <w:bodyDiv w:val="1"/>
      <w:marLeft w:val="0"/>
      <w:marRight w:val="0"/>
      <w:marTop w:val="0"/>
      <w:marBottom w:val="0"/>
      <w:divBdr>
        <w:top w:val="none" w:sz="0" w:space="0" w:color="auto"/>
        <w:left w:val="none" w:sz="0" w:space="0" w:color="auto"/>
        <w:bottom w:val="none" w:sz="0" w:space="0" w:color="auto"/>
        <w:right w:val="none" w:sz="0" w:space="0" w:color="auto"/>
      </w:divBdr>
    </w:div>
    <w:div w:id="1075517284">
      <w:bodyDiv w:val="1"/>
      <w:marLeft w:val="0"/>
      <w:marRight w:val="0"/>
      <w:marTop w:val="0"/>
      <w:marBottom w:val="0"/>
      <w:divBdr>
        <w:top w:val="none" w:sz="0" w:space="0" w:color="auto"/>
        <w:left w:val="none" w:sz="0" w:space="0" w:color="auto"/>
        <w:bottom w:val="none" w:sz="0" w:space="0" w:color="auto"/>
        <w:right w:val="none" w:sz="0" w:space="0" w:color="auto"/>
      </w:divBdr>
    </w:div>
    <w:div w:id="1169828639">
      <w:bodyDiv w:val="1"/>
      <w:marLeft w:val="0"/>
      <w:marRight w:val="0"/>
      <w:marTop w:val="0"/>
      <w:marBottom w:val="0"/>
      <w:divBdr>
        <w:top w:val="none" w:sz="0" w:space="0" w:color="auto"/>
        <w:left w:val="none" w:sz="0" w:space="0" w:color="auto"/>
        <w:bottom w:val="none" w:sz="0" w:space="0" w:color="auto"/>
        <w:right w:val="none" w:sz="0" w:space="0" w:color="auto"/>
      </w:divBdr>
    </w:div>
    <w:div w:id="1315404635">
      <w:bodyDiv w:val="1"/>
      <w:marLeft w:val="0"/>
      <w:marRight w:val="0"/>
      <w:marTop w:val="0"/>
      <w:marBottom w:val="0"/>
      <w:divBdr>
        <w:top w:val="none" w:sz="0" w:space="0" w:color="auto"/>
        <w:left w:val="none" w:sz="0" w:space="0" w:color="auto"/>
        <w:bottom w:val="none" w:sz="0" w:space="0" w:color="auto"/>
        <w:right w:val="none" w:sz="0" w:space="0" w:color="auto"/>
      </w:divBdr>
    </w:div>
    <w:div w:id="1424719768">
      <w:bodyDiv w:val="1"/>
      <w:marLeft w:val="0"/>
      <w:marRight w:val="0"/>
      <w:marTop w:val="0"/>
      <w:marBottom w:val="0"/>
      <w:divBdr>
        <w:top w:val="none" w:sz="0" w:space="0" w:color="auto"/>
        <w:left w:val="none" w:sz="0" w:space="0" w:color="auto"/>
        <w:bottom w:val="none" w:sz="0" w:space="0" w:color="auto"/>
        <w:right w:val="none" w:sz="0" w:space="0" w:color="auto"/>
      </w:divBdr>
    </w:div>
    <w:div w:id="1435325588">
      <w:bodyDiv w:val="1"/>
      <w:marLeft w:val="0"/>
      <w:marRight w:val="0"/>
      <w:marTop w:val="0"/>
      <w:marBottom w:val="0"/>
      <w:divBdr>
        <w:top w:val="none" w:sz="0" w:space="0" w:color="auto"/>
        <w:left w:val="none" w:sz="0" w:space="0" w:color="auto"/>
        <w:bottom w:val="none" w:sz="0" w:space="0" w:color="auto"/>
        <w:right w:val="none" w:sz="0" w:space="0" w:color="auto"/>
      </w:divBdr>
    </w:div>
    <w:div w:id="1705669247">
      <w:bodyDiv w:val="1"/>
      <w:marLeft w:val="0"/>
      <w:marRight w:val="0"/>
      <w:marTop w:val="0"/>
      <w:marBottom w:val="0"/>
      <w:divBdr>
        <w:top w:val="none" w:sz="0" w:space="0" w:color="auto"/>
        <w:left w:val="none" w:sz="0" w:space="0" w:color="auto"/>
        <w:bottom w:val="none" w:sz="0" w:space="0" w:color="auto"/>
        <w:right w:val="none" w:sz="0" w:space="0" w:color="auto"/>
      </w:divBdr>
    </w:div>
    <w:div w:id="1742408339">
      <w:bodyDiv w:val="1"/>
      <w:marLeft w:val="0"/>
      <w:marRight w:val="0"/>
      <w:marTop w:val="0"/>
      <w:marBottom w:val="0"/>
      <w:divBdr>
        <w:top w:val="none" w:sz="0" w:space="0" w:color="auto"/>
        <w:left w:val="none" w:sz="0" w:space="0" w:color="auto"/>
        <w:bottom w:val="none" w:sz="0" w:space="0" w:color="auto"/>
        <w:right w:val="none" w:sz="0" w:space="0" w:color="auto"/>
      </w:divBdr>
    </w:div>
    <w:div w:id="2074112023">
      <w:bodyDiv w:val="1"/>
      <w:marLeft w:val="0"/>
      <w:marRight w:val="0"/>
      <w:marTop w:val="0"/>
      <w:marBottom w:val="0"/>
      <w:divBdr>
        <w:top w:val="none" w:sz="0" w:space="0" w:color="auto"/>
        <w:left w:val="none" w:sz="0" w:space="0" w:color="auto"/>
        <w:bottom w:val="none" w:sz="0" w:space="0" w:color="auto"/>
        <w:right w:val="none" w:sz="0" w:space="0" w:color="auto"/>
      </w:divBdr>
    </w:div>
    <w:div w:id="21164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C1AFB-EA0F-4133-BF84-CD8D3A8A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3092</Words>
  <Characters>17629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45</cp:revision>
  <dcterms:created xsi:type="dcterms:W3CDTF">2020-09-18T12:20:00Z</dcterms:created>
  <dcterms:modified xsi:type="dcterms:W3CDTF">2020-10-09T11:12:00Z</dcterms:modified>
</cp:coreProperties>
</file>